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6"/>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6"/>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6"/>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6"/>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6"/>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6"/>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6"/>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6"/>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6"/>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6"/>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6"/>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6"/>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6"/>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6"/>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6"/>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2"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6"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6"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6" w:type="dxa"/>
            <w:vAlign w:val="center"/>
          </w:tcPr>
          <w:p>
            <w:pPr>
              <w:pStyle w:val="18"/>
            </w:pPr>
            <w:r>
              <w:t>一、一般公共预算拨款收入</w:t>
            </w:r>
          </w:p>
        </w:tc>
        <w:tc>
          <w:tcPr>
            <w:tcW w:w="2126" w:type="dxa"/>
            <w:vAlign w:val="center"/>
          </w:tcPr>
          <w:p>
            <w:pPr>
              <w:pStyle w:val="17"/>
            </w:pPr>
            <w:r>
              <w:t>30551.82</w:t>
            </w:r>
          </w:p>
        </w:tc>
        <w:tc>
          <w:tcPr>
            <w:tcW w:w="4535" w:type="dxa"/>
            <w:vAlign w:val="center"/>
          </w:tcPr>
          <w:p>
            <w:pPr>
              <w:pStyle w:val="18"/>
            </w:pPr>
            <w:r>
              <w:t>一、一般公共服务支出</w:t>
            </w:r>
          </w:p>
        </w:tc>
        <w:tc>
          <w:tcPr>
            <w:tcW w:w="2126" w:type="dxa"/>
            <w:vAlign w:val="center"/>
          </w:tcPr>
          <w:p>
            <w:pPr>
              <w:pStyle w:val="17"/>
            </w:pPr>
            <w:r>
              <w:t>25101.59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6"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6"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6"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6"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6"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6"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6"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3364.28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6"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1112.22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1108.89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6"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6" w:type="dxa"/>
            <w:vAlign w:val="center"/>
          </w:tcPr>
          <w:p>
            <w:pPr>
              <w:pStyle w:val="20"/>
            </w:pPr>
            <w:r>
              <w:t>本年收入合计</w:t>
            </w:r>
          </w:p>
        </w:tc>
        <w:tc>
          <w:tcPr>
            <w:tcW w:w="2126" w:type="dxa"/>
            <w:vAlign w:val="center"/>
          </w:tcPr>
          <w:p>
            <w:pPr>
              <w:pStyle w:val="21"/>
            </w:pPr>
            <w:r>
              <w:t>30551.82</w:t>
            </w:r>
          </w:p>
        </w:tc>
        <w:tc>
          <w:tcPr>
            <w:tcW w:w="4535" w:type="dxa"/>
            <w:vAlign w:val="center"/>
          </w:tcPr>
          <w:p>
            <w:pPr>
              <w:pStyle w:val="20"/>
            </w:pPr>
            <w:r>
              <w:t>本年支出合计</w:t>
            </w:r>
          </w:p>
        </w:tc>
        <w:tc>
          <w:tcPr>
            <w:tcW w:w="2126" w:type="dxa"/>
            <w:vAlign w:val="center"/>
          </w:tcPr>
          <w:p>
            <w:pPr>
              <w:pStyle w:val="21"/>
            </w:pPr>
            <w:r>
              <w:t>30686.98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6" w:type="dxa"/>
            <w:vAlign w:val="center"/>
          </w:tcPr>
          <w:p>
            <w:pPr>
              <w:pStyle w:val="18"/>
            </w:pPr>
            <w:r>
              <w:t>上年结转结余</w:t>
            </w:r>
          </w:p>
        </w:tc>
        <w:tc>
          <w:tcPr>
            <w:tcW w:w="2126" w:type="dxa"/>
            <w:vAlign w:val="center"/>
          </w:tcPr>
          <w:p>
            <w:pPr>
              <w:pStyle w:val="17"/>
            </w:pPr>
            <w:r>
              <w:t>135.16</w:t>
            </w: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6" w:type="dxa"/>
            <w:vAlign w:val="center"/>
          </w:tcPr>
          <w:p>
            <w:pPr>
              <w:pStyle w:val="20"/>
            </w:pPr>
            <w:r>
              <w:t>收入总计</w:t>
            </w:r>
          </w:p>
        </w:tc>
        <w:tc>
          <w:tcPr>
            <w:tcW w:w="2126" w:type="dxa"/>
            <w:vAlign w:val="center"/>
          </w:tcPr>
          <w:p>
            <w:pPr>
              <w:pStyle w:val="21"/>
            </w:pPr>
            <w:r>
              <w:t>30686.98</w:t>
            </w:r>
          </w:p>
        </w:tc>
        <w:tc>
          <w:tcPr>
            <w:tcW w:w="4535" w:type="dxa"/>
            <w:vAlign w:val="center"/>
          </w:tcPr>
          <w:p>
            <w:pPr>
              <w:pStyle w:val="20"/>
            </w:pPr>
            <w:r>
              <w:t>支出总计</w:t>
            </w:r>
          </w:p>
        </w:tc>
        <w:tc>
          <w:tcPr>
            <w:tcW w:w="2126" w:type="dxa"/>
            <w:vAlign w:val="center"/>
          </w:tcPr>
          <w:p>
            <w:pPr>
              <w:pStyle w:val="21"/>
            </w:pPr>
            <w:r>
              <w:t>30686.98</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222中共河北省纪律检查委员会</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2"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vAlign w:val="top"/>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30686.98</w:t>
            </w:r>
          </w:p>
        </w:tc>
        <w:tc>
          <w:tcPr>
            <w:tcW w:w="1134" w:type="dxa"/>
            <w:vAlign w:val="center"/>
          </w:tcPr>
          <w:p>
            <w:pPr>
              <w:pStyle w:val="21"/>
            </w:pPr>
            <w:r>
              <w:t>30551.82</w:t>
            </w:r>
          </w:p>
        </w:tc>
        <w:tc>
          <w:tcPr>
            <w:tcW w:w="1134" w:type="dxa"/>
            <w:vAlign w:val="center"/>
          </w:tcPr>
          <w:p>
            <w:pPr>
              <w:pStyle w:val="21"/>
            </w:pPr>
            <w:r>
              <w:t>30551.82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t>25101.59</w:t>
            </w:r>
          </w:p>
        </w:tc>
        <w:tc>
          <w:tcPr>
            <w:tcW w:w="1134" w:type="dxa"/>
            <w:vAlign w:val="center"/>
          </w:tcPr>
          <w:p>
            <w:pPr>
              <w:pStyle w:val="17"/>
            </w:pPr>
            <w:r>
              <w:t>24966.43</w:t>
            </w:r>
          </w:p>
        </w:tc>
        <w:tc>
          <w:tcPr>
            <w:tcW w:w="1134" w:type="dxa"/>
            <w:vAlign w:val="center"/>
          </w:tcPr>
          <w:p>
            <w:pPr>
              <w:pStyle w:val="17"/>
            </w:pPr>
            <w:r>
              <w:t>24966.43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20111</w:t>
            </w:r>
          </w:p>
        </w:tc>
        <w:tc>
          <w:tcPr>
            <w:tcW w:w="1559" w:type="dxa"/>
            <w:vAlign w:val="center"/>
          </w:tcPr>
          <w:p>
            <w:pPr>
              <w:pStyle w:val="18"/>
            </w:pPr>
            <w:r>
              <w:t>纪检监察事务</w:t>
            </w:r>
          </w:p>
        </w:tc>
        <w:tc>
          <w:tcPr>
            <w:tcW w:w="1134" w:type="dxa"/>
            <w:vAlign w:val="center"/>
          </w:tcPr>
          <w:p>
            <w:pPr>
              <w:pStyle w:val="17"/>
            </w:pPr>
            <w:r>
              <w:t>25101.59</w:t>
            </w:r>
          </w:p>
        </w:tc>
        <w:tc>
          <w:tcPr>
            <w:tcW w:w="1134" w:type="dxa"/>
            <w:vAlign w:val="center"/>
          </w:tcPr>
          <w:p>
            <w:pPr>
              <w:pStyle w:val="17"/>
            </w:pPr>
            <w:r>
              <w:t>24966.43</w:t>
            </w:r>
          </w:p>
        </w:tc>
        <w:tc>
          <w:tcPr>
            <w:tcW w:w="1134" w:type="dxa"/>
            <w:vAlign w:val="center"/>
          </w:tcPr>
          <w:p>
            <w:pPr>
              <w:pStyle w:val="17"/>
            </w:pPr>
            <w:r>
              <w:t>24966.43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4</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3364.28</w:t>
            </w:r>
          </w:p>
        </w:tc>
        <w:tc>
          <w:tcPr>
            <w:tcW w:w="1134" w:type="dxa"/>
            <w:vAlign w:val="center"/>
          </w:tcPr>
          <w:p>
            <w:pPr>
              <w:pStyle w:val="17"/>
            </w:pPr>
            <w:r>
              <w:t>3364.28</w:t>
            </w:r>
          </w:p>
        </w:tc>
        <w:tc>
          <w:tcPr>
            <w:tcW w:w="1134" w:type="dxa"/>
            <w:vAlign w:val="center"/>
          </w:tcPr>
          <w:p>
            <w:pPr>
              <w:pStyle w:val="17"/>
            </w:pPr>
            <w:r>
              <w:t>3364.28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5</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3364.28</w:t>
            </w:r>
          </w:p>
        </w:tc>
        <w:tc>
          <w:tcPr>
            <w:tcW w:w="1134" w:type="dxa"/>
            <w:vAlign w:val="center"/>
          </w:tcPr>
          <w:p>
            <w:pPr>
              <w:pStyle w:val="17"/>
            </w:pPr>
            <w:r>
              <w:t>3364.28</w:t>
            </w:r>
          </w:p>
        </w:tc>
        <w:tc>
          <w:tcPr>
            <w:tcW w:w="1134" w:type="dxa"/>
            <w:vAlign w:val="center"/>
          </w:tcPr>
          <w:p>
            <w:pPr>
              <w:pStyle w:val="17"/>
            </w:pPr>
            <w:r>
              <w:t>3364.28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6</w:t>
            </w:r>
          </w:p>
        </w:tc>
        <w:tc>
          <w:tcPr>
            <w:tcW w:w="992" w:type="dxa"/>
            <w:vAlign w:val="center"/>
          </w:tcPr>
          <w:p>
            <w:pPr>
              <w:pStyle w:val="18"/>
            </w:pPr>
            <w:r>
              <w:t>2080501</w:t>
            </w:r>
          </w:p>
        </w:tc>
        <w:tc>
          <w:tcPr>
            <w:tcW w:w="1559" w:type="dxa"/>
            <w:vAlign w:val="center"/>
          </w:tcPr>
          <w:p>
            <w:pPr>
              <w:pStyle w:val="18"/>
            </w:pPr>
            <w:r>
              <w:t>行政单位离退休</w:t>
            </w:r>
          </w:p>
        </w:tc>
        <w:tc>
          <w:tcPr>
            <w:tcW w:w="1134" w:type="dxa"/>
            <w:vAlign w:val="center"/>
          </w:tcPr>
          <w:p>
            <w:pPr>
              <w:pStyle w:val="17"/>
            </w:pPr>
            <w:r>
              <w:t>1381.74</w:t>
            </w:r>
          </w:p>
        </w:tc>
        <w:tc>
          <w:tcPr>
            <w:tcW w:w="1134" w:type="dxa"/>
            <w:vAlign w:val="center"/>
          </w:tcPr>
          <w:p>
            <w:pPr>
              <w:pStyle w:val="17"/>
            </w:pPr>
            <w:r>
              <w:t>1381.74</w:t>
            </w:r>
          </w:p>
        </w:tc>
        <w:tc>
          <w:tcPr>
            <w:tcW w:w="1134" w:type="dxa"/>
            <w:vAlign w:val="center"/>
          </w:tcPr>
          <w:p>
            <w:pPr>
              <w:pStyle w:val="17"/>
            </w:pPr>
            <w:r>
              <w:t>1381.74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7</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15.06</w:t>
            </w:r>
          </w:p>
        </w:tc>
        <w:tc>
          <w:tcPr>
            <w:tcW w:w="1134" w:type="dxa"/>
            <w:vAlign w:val="center"/>
          </w:tcPr>
          <w:p>
            <w:pPr>
              <w:pStyle w:val="17"/>
            </w:pPr>
            <w:r>
              <w:t>15.06</w:t>
            </w:r>
          </w:p>
        </w:tc>
        <w:tc>
          <w:tcPr>
            <w:tcW w:w="1134" w:type="dxa"/>
            <w:vAlign w:val="center"/>
          </w:tcPr>
          <w:p>
            <w:pPr>
              <w:pStyle w:val="17"/>
            </w:pPr>
            <w:r>
              <w:t>15.06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1311.65</w:t>
            </w:r>
          </w:p>
        </w:tc>
        <w:tc>
          <w:tcPr>
            <w:tcW w:w="1134" w:type="dxa"/>
            <w:vAlign w:val="center"/>
          </w:tcPr>
          <w:p>
            <w:pPr>
              <w:pStyle w:val="17"/>
            </w:pPr>
            <w:r>
              <w:t>1311.65</w:t>
            </w:r>
          </w:p>
        </w:tc>
        <w:tc>
          <w:tcPr>
            <w:tcW w:w="1134" w:type="dxa"/>
            <w:vAlign w:val="center"/>
          </w:tcPr>
          <w:p>
            <w:pPr>
              <w:pStyle w:val="17"/>
            </w:pPr>
            <w:r>
              <w:t>1311.65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9</w:t>
            </w:r>
          </w:p>
        </w:tc>
        <w:tc>
          <w:tcPr>
            <w:tcW w:w="992" w:type="dxa"/>
            <w:vAlign w:val="center"/>
          </w:tcPr>
          <w:p>
            <w:pPr>
              <w:pStyle w:val="18"/>
            </w:pPr>
            <w:r>
              <w:t>2080506</w:t>
            </w:r>
          </w:p>
        </w:tc>
        <w:tc>
          <w:tcPr>
            <w:tcW w:w="1559" w:type="dxa"/>
            <w:vAlign w:val="center"/>
          </w:tcPr>
          <w:p>
            <w:pPr>
              <w:pStyle w:val="18"/>
            </w:pPr>
            <w:r>
              <w:t>机关事业单位职业年金缴费支出</w:t>
            </w:r>
          </w:p>
        </w:tc>
        <w:tc>
          <w:tcPr>
            <w:tcW w:w="1134" w:type="dxa"/>
            <w:vAlign w:val="center"/>
          </w:tcPr>
          <w:p>
            <w:pPr>
              <w:pStyle w:val="17"/>
            </w:pPr>
            <w:r>
              <w:t>655.83</w:t>
            </w:r>
          </w:p>
        </w:tc>
        <w:tc>
          <w:tcPr>
            <w:tcW w:w="1134" w:type="dxa"/>
            <w:vAlign w:val="center"/>
          </w:tcPr>
          <w:p>
            <w:pPr>
              <w:pStyle w:val="17"/>
            </w:pPr>
            <w:r>
              <w:t>655.83</w:t>
            </w:r>
          </w:p>
        </w:tc>
        <w:tc>
          <w:tcPr>
            <w:tcW w:w="1134" w:type="dxa"/>
            <w:vAlign w:val="center"/>
          </w:tcPr>
          <w:p>
            <w:pPr>
              <w:pStyle w:val="17"/>
            </w:pPr>
            <w:r>
              <w:t>655.83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0</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1112.22</w:t>
            </w:r>
          </w:p>
        </w:tc>
        <w:tc>
          <w:tcPr>
            <w:tcW w:w="1134" w:type="dxa"/>
            <w:vAlign w:val="center"/>
          </w:tcPr>
          <w:p>
            <w:pPr>
              <w:pStyle w:val="17"/>
            </w:pPr>
            <w:r>
              <w:t>1112.22</w:t>
            </w:r>
          </w:p>
        </w:tc>
        <w:tc>
          <w:tcPr>
            <w:tcW w:w="1134" w:type="dxa"/>
            <w:vAlign w:val="center"/>
          </w:tcPr>
          <w:p>
            <w:pPr>
              <w:pStyle w:val="17"/>
            </w:pPr>
            <w:r>
              <w:t>1112.22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1</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1112.22</w:t>
            </w:r>
          </w:p>
        </w:tc>
        <w:tc>
          <w:tcPr>
            <w:tcW w:w="1134" w:type="dxa"/>
            <w:vAlign w:val="center"/>
          </w:tcPr>
          <w:p>
            <w:pPr>
              <w:pStyle w:val="17"/>
            </w:pPr>
            <w:r>
              <w:t>1112.22</w:t>
            </w:r>
          </w:p>
        </w:tc>
        <w:tc>
          <w:tcPr>
            <w:tcW w:w="1134" w:type="dxa"/>
            <w:vAlign w:val="center"/>
          </w:tcPr>
          <w:p>
            <w:pPr>
              <w:pStyle w:val="17"/>
            </w:pPr>
            <w:r>
              <w:t>1112.22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2</w:t>
            </w:r>
          </w:p>
        </w:tc>
        <w:tc>
          <w:tcPr>
            <w:tcW w:w="992" w:type="dxa"/>
            <w:vAlign w:val="center"/>
          </w:tcPr>
          <w:p>
            <w:pPr>
              <w:pStyle w:val="18"/>
            </w:pPr>
            <w:r>
              <w:t>2101101</w:t>
            </w:r>
          </w:p>
        </w:tc>
        <w:tc>
          <w:tcPr>
            <w:tcW w:w="1559" w:type="dxa"/>
            <w:vAlign w:val="center"/>
          </w:tcPr>
          <w:p>
            <w:pPr>
              <w:pStyle w:val="18"/>
            </w:pPr>
            <w:r>
              <w:t>行政单位医疗</w:t>
            </w:r>
          </w:p>
        </w:tc>
        <w:tc>
          <w:tcPr>
            <w:tcW w:w="1134" w:type="dxa"/>
            <w:vAlign w:val="center"/>
          </w:tcPr>
          <w:p>
            <w:pPr>
              <w:pStyle w:val="17"/>
            </w:pPr>
            <w:r>
              <w:t>1089.04</w:t>
            </w:r>
          </w:p>
        </w:tc>
        <w:tc>
          <w:tcPr>
            <w:tcW w:w="1134" w:type="dxa"/>
            <w:vAlign w:val="center"/>
          </w:tcPr>
          <w:p>
            <w:pPr>
              <w:pStyle w:val="17"/>
            </w:pPr>
            <w:r>
              <w:t>1089.04</w:t>
            </w:r>
          </w:p>
        </w:tc>
        <w:tc>
          <w:tcPr>
            <w:tcW w:w="1134" w:type="dxa"/>
            <w:vAlign w:val="center"/>
          </w:tcPr>
          <w:p>
            <w:pPr>
              <w:pStyle w:val="17"/>
            </w:pPr>
            <w:r>
              <w:t>1089.04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t>1</w:t>
            </w:r>
            <w:r>
              <w:rPr>
                <w:rFonts w:hint="eastAsia"/>
                <w:lang w:eastAsia="zh-CN"/>
              </w:rPr>
              <w:t>3</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23.18</w:t>
            </w:r>
          </w:p>
        </w:tc>
        <w:tc>
          <w:tcPr>
            <w:tcW w:w="1134" w:type="dxa"/>
            <w:vAlign w:val="center"/>
          </w:tcPr>
          <w:p>
            <w:pPr>
              <w:pStyle w:val="17"/>
            </w:pPr>
            <w:r>
              <w:t>23.18</w:t>
            </w:r>
          </w:p>
        </w:tc>
        <w:tc>
          <w:tcPr>
            <w:tcW w:w="1134" w:type="dxa"/>
            <w:vAlign w:val="center"/>
          </w:tcPr>
          <w:p>
            <w:pPr>
              <w:pStyle w:val="17"/>
            </w:pPr>
            <w:r>
              <w:t>23.18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14</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15</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9"/>
              <w:rPr>
                <w:lang w:eastAsia="zh-CN"/>
              </w:rPr>
            </w:pPr>
            <w:r>
              <w:rPr>
                <w:rFonts w:hint="eastAsia"/>
                <w:lang w:eastAsia="zh-CN"/>
              </w:rPr>
              <w:t>16</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r>
              <w:t>1108.89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722"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16"/>
            </w:pPr>
            <w:r>
              <w:t>科目    编码</w:t>
            </w:r>
          </w:p>
        </w:tc>
        <w:tc>
          <w:tcPr>
            <w:tcW w:w="4536" w:type="dxa"/>
            <w:vAlign w:val="center"/>
          </w:tcPr>
          <w:p>
            <w:pPr>
              <w:pStyle w:val="16"/>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6"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6" w:type="dxa"/>
            <w:vAlign w:val="center"/>
          </w:tcPr>
          <w:p>
            <w:pPr>
              <w:pStyle w:val="20"/>
            </w:pPr>
            <w:r>
              <w:t>合计</w:t>
            </w:r>
          </w:p>
        </w:tc>
        <w:tc>
          <w:tcPr>
            <w:tcW w:w="1361" w:type="dxa"/>
            <w:vAlign w:val="center"/>
          </w:tcPr>
          <w:p>
            <w:pPr>
              <w:pStyle w:val="21"/>
            </w:pPr>
            <w:r>
              <w:t>30686.98</w:t>
            </w:r>
          </w:p>
        </w:tc>
        <w:tc>
          <w:tcPr>
            <w:tcW w:w="1361" w:type="dxa"/>
            <w:vAlign w:val="center"/>
          </w:tcPr>
          <w:p>
            <w:pPr>
              <w:pStyle w:val="21"/>
            </w:pPr>
            <w:r>
              <w:t>19020.60</w:t>
            </w:r>
          </w:p>
        </w:tc>
        <w:tc>
          <w:tcPr>
            <w:tcW w:w="1361" w:type="dxa"/>
            <w:vAlign w:val="center"/>
          </w:tcPr>
          <w:p>
            <w:pPr>
              <w:pStyle w:val="21"/>
            </w:pPr>
            <w:r>
              <w:t>11666.38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6" w:type="dxa"/>
            <w:vAlign w:val="center"/>
          </w:tcPr>
          <w:p>
            <w:pPr>
              <w:pStyle w:val="18"/>
            </w:pPr>
            <w:r>
              <w:t>一般公共服务支出</w:t>
            </w:r>
          </w:p>
        </w:tc>
        <w:tc>
          <w:tcPr>
            <w:tcW w:w="1361" w:type="dxa"/>
            <w:vAlign w:val="center"/>
          </w:tcPr>
          <w:p>
            <w:pPr>
              <w:pStyle w:val="17"/>
            </w:pPr>
            <w:r>
              <w:t>25101.59</w:t>
            </w:r>
          </w:p>
        </w:tc>
        <w:tc>
          <w:tcPr>
            <w:tcW w:w="1361" w:type="dxa"/>
            <w:vAlign w:val="center"/>
          </w:tcPr>
          <w:p>
            <w:pPr>
              <w:pStyle w:val="17"/>
            </w:pPr>
            <w:r>
              <w:t>13435.21</w:t>
            </w:r>
          </w:p>
        </w:tc>
        <w:tc>
          <w:tcPr>
            <w:tcW w:w="1361" w:type="dxa"/>
            <w:vAlign w:val="center"/>
          </w:tcPr>
          <w:p>
            <w:pPr>
              <w:pStyle w:val="17"/>
            </w:pPr>
            <w:r>
              <w:t>11666.38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20111</w:t>
            </w:r>
          </w:p>
        </w:tc>
        <w:tc>
          <w:tcPr>
            <w:tcW w:w="4536" w:type="dxa"/>
            <w:vAlign w:val="center"/>
          </w:tcPr>
          <w:p>
            <w:pPr>
              <w:pStyle w:val="18"/>
            </w:pPr>
            <w:r>
              <w:t>纪检监察事务</w:t>
            </w:r>
          </w:p>
        </w:tc>
        <w:tc>
          <w:tcPr>
            <w:tcW w:w="1361" w:type="dxa"/>
            <w:vAlign w:val="center"/>
          </w:tcPr>
          <w:p>
            <w:pPr>
              <w:pStyle w:val="17"/>
            </w:pPr>
            <w:r>
              <w:t>25101.59</w:t>
            </w:r>
          </w:p>
        </w:tc>
        <w:tc>
          <w:tcPr>
            <w:tcW w:w="1361" w:type="dxa"/>
            <w:vAlign w:val="center"/>
          </w:tcPr>
          <w:p>
            <w:pPr>
              <w:pStyle w:val="17"/>
            </w:pPr>
            <w:r>
              <w:t>13435.21</w:t>
            </w:r>
          </w:p>
        </w:tc>
        <w:tc>
          <w:tcPr>
            <w:tcW w:w="1361" w:type="dxa"/>
            <w:vAlign w:val="center"/>
          </w:tcPr>
          <w:p>
            <w:pPr>
              <w:pStyle w:val="17"/>
            </w:pPr>
            <w:r>
              <w:t>11666.38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4</w:t>
            </w:r>
          </w:p>
        </w:tc>
        <w:tc>
          <w:tcPr>
            <w:tcW w:w="992" w:type="dxa"/>
            <w:vAlign w:val="center"/>
          </w:tcPr>
          <w:p>
            <w:pPr>
              <w:pStyle w:val="18"/>
            </w:pPr>
            <w:r>
              <w:t>208</w:t>
            </w:r>
          </w:p>
        </w:tc>
        <w:tc>
          <w:tcPr>
            <w:tcW w:w="4536" w:type="dxa"/>
            <w:vAlign w:val="center"/>
          </w:tcPr>
          <w:p>
            <w:pPr>
              <w:pStyle w:val="18"/>
            </w:pPr>
            <w:r>
              <w:t>社会保障和就业支出</w:t>
            </w:r>
          </w:p>
        </w:tc>
        <w:tc>
          <w:tcPr>
            <w:tcW w:w="1361" w:type="dxa"/>
            <w:vAlign w:val="center"/>
          </w:tcPr>
          <w:p>
            <w:pPr>
              <w:pStyle w:val="17"/>
            </w:pPr>
            <w:r>
              <w:t>3364.28</w:t>
            </w:r>
          </w:p>
        </w:tc>
        <w:tc>
          <w:tcPr>
            <w:tcW w:w="1361" w:type="dxa"/>
            <w:vAlign w:val="center"/>
          </w:tcPr>
          <w:p>
            <w:pPr>
              <w:pStyle w:val="17"/>
            </w:pPr>
            <w:r>
              <w:t>3364.28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5</w:t>
            </w:r>
          </w:p>
        </w:tc>
        <w:tc>
          <w:tcPr>
            <w:tcW w:w="992" w:type="dxa"/>
            <w:vAlign w:val="center"/>
          </w:tcPr>
          <w:p>
            <w:pPr>
              <w:pStyle w:val="18"/>
            </w:pPr>
            <w:r>
              <w:t>20805</w:t>
            </w:r>
          </w:p>
        </w:tc>
        <w:tc>
          <w:tcPr>
            <w:tcW w:w="4536" w:type="dxa"/>
            <w:vAlign w:val="center"/>
          </w:tcPr>
          <w:p>
            <w:pPr>
              <w:pStyle w:val="18"/>
            </w:pPr>
            <w:r>
              <w:t>行政事业单位养老支出</w:t>
            </w:r>
          </w:p>
        </w:tc>
        <w:tc>
          <w:tcPr>
            <w:tcW w:w="1361" w:type="dxa"/>
            <w:vAlign w:val="center"/>
          </w:tcPr>
          <w:p>
            <w:pPr>
              <w:pStyle w:val="17"/>
            </w:pPr>
            <w:r>
              <w:t>3364.28</w:t>
            </w:r>
          </w:p>
        </w:tc>
        <w:tc>
          <w:tcPr>
            <w:tcW w:w="1361" w:type="dxa"/>
            <w:vAlign w:val="center"/>
          </w:tcPr>
          <w:p>
            <w:pPr>
              <w:pStyle w:val="17"/>
            </w:pPr>
            <w:r>
              <w:t>3364.28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6</w:t>
            </w:r>
          </w:p>
        </w:tc>
        <w:tc>
          <w:tcPr>
            <w:tcW w:w="992" w:type="dxa"/>
            <w:vAlign w:val="center"/>
          </w:tcPr>
          <w:p>
            <w:pPr>
              <w:pStyle w:val="18"/>
            </w:pPr>
            <w:r>
              <w:t>2080501</w:t>
            </w:r>
          </w:p>
        </w:tc>
        <w:tc>
          <w:tcPr>
            <w:tcW w:w="4536" w:type="dxa"/>
            <w:vAlign w:val="center"/>
          </w:tcPr>
          <w:p>
            <w:pPr>
              <w:pStyle w:val="18"/>
            </w:pPr>
            <w:r>
              <w:t>行政单位离退休</w:t>
            </w:r>
          </w:p>
        </w:tc>
        <w:tc>
          <w:tcPr>
            <w:tcW w:w="1361" w:type="dxa"/>
            <w:vAlign w:val="center"/>
          </w:tcPr>
          <w:p>
            <w:pPr>
              <w:pStyle w:val="17"/>
            </w:pPr>
            <w:r>
              <w:t>1381.74</w:t>
            </w:r>
          </w:p>
        </w:tc>
        <w:tc>
          <w:tcPr>
            <w:tcW w:w="1361" w:type="dxa"/>
            <w:vAlign w:val="center"/>
          </w:tcPr>
          <w:p>
            <w:pPr>
              <w:pStyle w:val="17"/>
            </w:pPr>
            <w:r>
              <w:t>1381.74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992" w:type="dxa"/>
            <w:vAlign w:val="center"/>
          </w:tcPr>
          <w:p>
            <w:pPr>
              <w:pStyle w:val="18"/>
            </w:pPr>
            <w:r>
              <w:t>2080502</w:t>
            </w:r>
          </w:p>
        </w:tc>
        <w:tc>
          <w:tcPr>
            <w:tcW w:w="4536" w:type="dxa"/>
            <w:vAlign w:val="center"/>
          </w:tcPr>
          <w:p>
            <w:pPr>
              <w:pStyle w:val="18"/>
            </w:pPr>
            <w:r>
              <w:t>事业单位离退休</w:t>
            </w:r>
          </w:p>
        </w:tc>
        <w:tc>
          <w:tcPr>
            <w:tcW w:w="1361" w:type="dxa"/>
            <w:vAlign w:val="center"/>
          </w:tcPr>
          <w:p>
            <w:pPr>
              <w:pStyle w:val="17"/>
            </w:pPr>
            <w:r>
              <w:t>15.06</w:t>
            </w:r>
          </w:p>
        </w:tc>
        <w:tc>
          <w:tcPr>
            <w:tcW w:w="1361" w:type="dxa"/>
            <w:vAlign w:val="center"/>
          </w:tcPr>
          <w:p>
            <w:pPr>
              <w:pStyle w:val="17"/>
            </w:pPr>
            <w:r>
              <w:t>15.06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992" w:type="dxa"/>
            <w:vAlign w:val="center"/>
          </w:tcPr>
          <w:p>
            <w:pPr>
              <w:pStyle w:val="18"/>
            </w:pPr>
            <w:r>
              <w:t>2080505</w:t>
            </w:r>
          </w:p>
        </w:tc>
        <w:tc>
          <w:tcPr>
            <w:tcW w:w="4536" w:type="dxa"/>
            <w:vAlign w:val="center"/>
          </w:tcPr>
          <w:p>
            <w:pPr>
              <w:pStyle w:val="18"/>
            </w:pPr>
            <w:r>
              <w:t>机关事业单位基本养老保险缴费支出</w:t>
            </w:r>
          </w:p>
        </w:tc>
        <w:tc>
          <w:tcPr>
            <w:tcW w:w="1361" w:type="dxa"/>
            <w:vAlign w:val="center"/>
          </w:tcPr>
          <w:p>
            <w:pPr>
              <w:pStyle w:val="17"/>
            </w:pPr>
            <w:r>
              <w:t>1311.65</w:t>
            </w:r>
          </w:p>
        </w:tc>
        <w:tc>
          <w:tcPr>
            <w:tcW w:w="1361" w:type="dxa"/>
            <w:vAlign w:val="center"/>
          </w:tcPr>
          <w:p>
            <w:pPr>
              <w:pStyle w:val="17"/>
            </w:pPr>
            <w:r>
              <w:t>1311.65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992" w:type="dxa"/>
            <w:vAlign w:val="center"/>
          </w:tcPr>
          <w:p>
            <w:pPr>
              <w:pStyle w:val="18"/>
            </w:pPr>
            <w:r>
              <w:t>2080506</w:t>
            </w:r>
          </w:p>
        </w:tc>
        <w:tc>
          <w:tcPr>
            <w:tcW w:w="4536" w:type="dxa"/>
            <w:vAlign w:val="center"/>
          </w:tcPr>
          <w:p>
            <w:pPr>
              <w:pStyle w:val="18"/>
            </w:pPr>
            <w:r>
              <w:t>机关事业单位职业年金缴费支出</w:t>
            </w:r>
          </w:p>
        </w:tc>
        <w:tc>
          <w:tcPr>
            <w:tcW w:w="1361" w:type="dxa"/>
            <w:vAlign w:val="center"/>
          </w:tcPr>
          <w:p>
            <w:pPr>
              <w:pStyle w:val="17"/>
            </w:pPr>
            <w:r>
              <w:t>655.83</w:t>
            </w:r>
          </w:p>
        </w:tc>
        <w:tc>
          <w:tcPr>
            <w:tcW w:w="1361" w:type="dxa"/>
            <w:vAlign w:val="center"/>
          </w:tcPr>
          <w:p>
            <w:pPr>
              <w:pStyle w:val="17"/>
            </w:pPr>
            <w:r>
              <w:t>655.83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0</w:t>
            </w:r>
          </w:p>
        </w:tc>
        <w:tc>
          <w:tcPr>
            <w:tcW w:w="992" w:type="dxa"/>
            <w:vAlign w:val="center"/>
          </w:tcPr>
          <w:p>
            <w:pPr>
              <w:pStyle w:val="18"/>
            </w:pPr>
            <w:r>
              <w:t>210</w:t>
            </w:r>
          </w:p>
        </w:tc>
        <w:tc>
          <w:tcPr>
            <w:tcW w:w="4536" w:type="dxa"/>
            <w:vAlign w:val="center"/>
          </w:tcPr>
          <w:p>
            <w:pPr>
              <w:pStyle w:val="18"/>
            </w:pPr>
            <w:r>
              <w:t>卫生健康支出</w:t>
            </w:r>
          </w:p>
        </w:tc>
        <w:tc>
          <w:tcPr>
            <w:tcW w:w="1361" w:type="dxa"/>
            <w:vAlign w:val="center"/>
          </w:tcPr>
          <w:p>
            <w:pPr>
              <w:pStyle w:val="17"/>
            </w:pPr>
            <w:r>
              <w:t>1112.22</w:t>
            </w:r>
          </w:p>
        </w:tc>
        <w:tc>
          <w:tcPr>
            <w:tcW w:w="1361" w:type="dxa"/>
            <w:vAlign w:val="center"/>
          </w:tcPr>
          <w:p>
            <w:pPr>
              <w:pStyle w:val="17"/>
            </w:pPr>
            <w:r>
              <w:t>1112.22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1</w:t>
            </w:r>
          </w:p>
        </w:tc>
        <w:tc>
          <w:tcPr>
            <w:tcW w:w="992" w:type="dxa"/>
            <w:vAlign w:val="center"/>
          </w:tcPr>
          <w:p>
            <w:pPr>
              <w:pStyle w:val="18"/>
            </w:pPr>
            <w:r>
              <w:t>21011</w:t>
            </w:r>
          </w:p>
        </w:tc>
        <w:tc>
          <w:tcPr>
            <w:tcW w:w="4536" w:type="dxa"/>
            <w:vAlign w:val="center"/>
          </w:tcPr>
          <w:p>
            <w:pPr>
              <w:pStyle w:val="18"/>
            </w:pPr>
            <w:r>
              <w:t>行政事业单位医疗</w:t>
            </w:r>
          </w:p>
        </w:tc>
        <w:tc>
          <w:tcPr>
            <w:tcW w:w="1361" w:type="dxa"/>
            <w:vAlign w:val="center"/>
          </w:tcPr>
          <w:p>
            <w:pPr>
              <w:pStyle w:val="17"/>
            </w:pPr>
            <w:r>
              <w:t>1112.22</w:t>
            </w:r>
          </w:p>
        </w:tc>
        <w:tc>
          <w:tcPr>
            <w:tcW w:w="1361" w:type="dxa"/>
            <w:vAlign w:val="center"/>
          </w:tcPr>
          <w:p>
            <w:pPr>
              <w:pStyle w:val="17"/>
            </w:pPr>
            <w:r>
              <w:t>1112.22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2</w:t>
            </w:r>
          </w:p>
        </w:tc>
        <w:tc>
          <w:tcPr>
            <w:tcW w:w="992" w:type="dxa"/>
            <w:vAlign w:val="center"/>
          </w:tcPr>
          <w:p>
            <w:pPr>
              <w:pStyle w:val="18"/>
            </w:pPr>
            <w:r>
              <w:t>2101101</w:t>
            </w:r>
          </w:p>
        </w:tc>
        <w:tc>
          <w:tcPr>
            <w:tcW w:w="4536" w:type="dxa"/>
            <w:vAlign w:val="center"/>
          </w:tcPr>
          <w:p>
            <w:pPr>
              <w:pStyle w:val="18"/>
            </w:pPr>
            <w:r>
              <w:t>行政单位医疗</w:t>
            </w:r>
          </w:p>
        </w:tc>
        <w:tc>
          <w:tcPr>
            <w:tcW w:w="1361" w:type="dxa"/>
            <w:vAlign w:val="center"/>
          </w:tcPr>
          <w:p>
            <w:pPr>
              <w:pStyle w:val="17"/>
            </w:pPr>
            <w:r>
              <w:t>1089.04</w:t>
            </w:r>
          </w:p>
        </w:tc>
        <w:tc>
          <w:tcPr>
            <w:tcW w:w="1361" w:type="dxa"/>
            <w:vAlign w:val="center"/>
          </w:tcPr>
          <w:p>
            <w:pPr>
              <w:pStyle w:val="17"/>
            </w:pPr>
            <w:r>
              <w:t>1089.04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3</w:t>
            </w:r>
          </w:p>
        </w:tc>
        <w:tc>
          <w:tcPr>
            <w:tcW w:w="992" w:type="dxa"/>
            <w:vAlign w:val="center"/>
          </w:tcPr>
          <w:p>
            <w:pPr>
              <w:pStyle w:val="18"/>
            </w:pPr>
            <w:r>
              <w:t>2101102</w:t>
            </w:r>
          </w:p>
        </w:tc>
        <w:tc>
          <w:tcPr>
            <w:tcW w:w="4536" w:type="dxa"/>
            <w:vAlign w:val="center"/>
          </w:tcPr>
          <w:p>
            <w:pPr>
              <w:pStyle w:val="18"/>
            </w:pPr>
            <w:r>
              <w:t>事业单位医疗</w:t>
            </w:r>
          </w:p>
        </w:tc>
        <w:tc>
          <w:tcPr>
            <w:tcW w:w="1361" w:type="dxa"/>
            <w:vAlign w:val="center"/>
          </w:tcPr>
          <w:p>
            <w:pPr>
              <w:pStyle w:val="17"/>
            </w:pPr>
            <w:r>
              <w:t>23.18</w:t>
            </w:r>
          </w:p>
        </w:tc>
        <w:tc>
          <w:tcPr>
            <w:tcW w:w="1361" w:type="dxa"/>
            <w:vAlign w:val="center"/>
          </w:tcPr>
          <w:p>
            <w:pPr>
              <w:pStyle w:val="17"/>
            </w:pPr>
            <w:r>
              <w:t>23.18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14</w:t>
            </w:r>
          </w:p>
        </w:tc>
        <w:tc>
          <w:tcPr>
            <w:tcW w:w="992" w:type="dxa"/>
            <w:vAlign w:val="center"/>
          </w:tcPr>
          <w:p>
            <w:pPr>
              <w:pStyle w:val="18"/>
            </w:pPr>
            <w:r>
              <w:t>221</w:t>
            </w:r>
          </w:p>
        </w:tc>
        <w:tc>
          <w:tcPr>
            <w:tcW w:w="4536" w:type="dxa"/>
            <w:vAlign w:val="center"/>
          </w:tcPr>
          <w:p>
            <w:pPr>
              <w:pStyle w:val="18"/>
            </w:pPr>
            <w:r>
              <w:t>住房保障支出</w:t>
            </w:r>
          </w:p>
        </w:tc>
        <w:tc>
          <w:tcPr>
            <w:tcW w:w="1361" w:type="dxa"/>
            <w:vAlign w:val="center"/>
          </w:tcPr>
          <w:p>
            <w:pPr>
              <w:pStyle w:val="17"/>
            </w:pPr>
            <w:r>
              <w:t>1108.89</w:t>
            </w:r>
          </w:p>
        </w:tc>
        <w:tc>
          <w:tcPr>
            <w:tcW w:w="1361" w:type="dxa"/>
            <w:vAlign w:val="center"/>
          </w:tcPr>
          <w:p>
            <w:pPr>
              <w:pStyle w:val="17"/>
            </w:pPr>
            <w:r>
              <w:t>1108.89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15</w:t>
            </w:r>
          </w:p>
        </w:tc>
        <w:tc>
          <w:tcPr>
            <w:tcW w:w="992" w:type="dxa"/>
            <w:vAlign w:val="center"/>
          </w:tcPr>
          <w:p>
            <w:pPr>
              <w:pStyle w:val="18"/>
            </w:pPr>
            <w:r>
              <w:t>22102</w:t>
            </w:r>
          </w:p>
        </w:tc>
        <w:tc>
          <w:tcPr>
            <w:tcW w:w="4536" w:type="dxa"/>
            <w:vAlign w:val="center"/>
          </w:tcPr>
          <w:p>
            <w:pPr>
              <w:pStyle w:val="18"/>
            </w:pPr>
            <w:r>
              <w:t>住房改革支出</w:t>
            </w:r>
          </w:p>
        </w:tc>
        <w:tc>
          <w:tcPr>
            <w:tcW w:w="1361" w:type="dxa"/>
            <w:vAlign w:val="center"/>
          </w:tcPr>
          <w:p>
            <w:pPr>
              <w:pStyle w:val="17"/>
            </w:pPr>
            <w:r>
              <w:t>1108.89</w:t>
            </w:r>
          </w:p>
        </w:tc>
        <w:tc>
          <w:tcPr>
            <w:tcW w:w="1361" w:type="dxa"/>
            <w:vAlign w:val="center"/>
          </w:tcPr>
          <w:p>
            <w:pPr>
              <w:pStyle w:val="17"/>
            </w:pPr>
            <w:r>
              <w:t>1108.89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16</w:t>
            </w:r>
          </w:p>
        </w:tc>
        <w:tc>
          <w:tcPr>
            <w:tcW w:w="992" w:type="dxa"/>
            <w:vAlign w:val="center"/>
          </w:tcPr>
          <w:p>
            <w:pPr>
              <w:pStyle w:val="18"/>
            </w:pPr>
            <w:r>
              <w:t>2210201</w:t>
            </w:r>
          </w:p>
        </w:tc>
        <w:tc>
          <w:tcPr>
            <w:tcW w:w="4536" w:type="dxa"/>
            <w:vAlign w:val="center"/>
          </w:tcPr>
          <w:p>
            <w:pPr>
              <w:pStyle w:val="18"/>
            </w:pPr>
            <w:r>
              <w:t>住房公积金</w:t>
            </w:r>
          </w:p>
        </w:tc>
        <w:tc>
          <w:tcPr>
            <w:tcW w:w="1361" w:type="dxa"/>
            <w:vAlign w:val="center"/>
          </w:tcPr>
          <w:p>
            <w:pPr>
              <w:pStyle w:val="17"/>
            </w:pPr>
            <w:r>
              <w:t>1108.89</w:t>
            </w:r>
          </w:p>
        </w:tc>
        <w:tc>
          <w:tcPr>
            <w:tcW w:w="1361" w:type="dxa"/>
            <w:vAlign w:val="center"/>
          </w:tcPr>
          <w:p>
            <w:pPr>
              <w:pStyle w:val="17"/>
            </w:pPr>
            <w:r>
              <w:t>1108.89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30551.82</w:t>
            </w:r>
          </w:p>
        </w:tc>
        <w:tc>
          <w:tcPr>
            <w:tcW w:w="3402" w:type="dxa"/>
            <w:vAlign w:val="center"/>
          </w:tcPr>
          <w:p>
            <w:pPr>
              <w:pStyle w:val="18"/>
            </w:pPr>
            <w:r>
              <w:t>一、一般公共服务支出</w:t>
            </w:r>
          </w:p>
        </w:tc>
        <w:tc>
          <w:tcPr>
            <w:tcW w:w="1474" w:type="dxa"/>
            <w:vAlign w:val="center"/>
          </w:tcPr>
          <w:p>
            <w:pPr>
              <w:pStyle w:val="17"/>
            </w:pPr>
            <w:r>
              <w:t>25101.59</w:t>
            </w:r>
          </w:p>
        </w:tc>
        <w:tc>
          <w:tcPr>
            <w:tcW w:w="1474" w:type="dxa"/>
            <w:vAlign w:val="center"/>
          </w:tcPr>
          <w:p>
            <w:pPr>
              <w:pStyle w:val="17"/>
            </w:pPr>
            <w:r>
              <w:t>25101.59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3364.28</w:t>
            </w:r>
          </w:p>
        </w:tc>
        <w:tc>
          <w:tcPr>
            <w:tcW w:w="1474" w:type="dxa"/>
            <w:vAlign w:val="center"/>
          </w:tcPr>
          <w:p>
            <w:pPr>
              <w:pStyle w:val="17"/>
            </w:pPr>
            <w:r>
              <w:t>3364.28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1112.22</w:t>
            </w:r>
          </w:p>
        </w:tc>
        <w:tc>
          <w:tcPr>
            <w:tcW w:w="1474" w:type="dxa"/>
            <w:vAlign w:val="center"/>
          </w:tcPr>
          <w:p>
            <w:pPr>
              <w:pStyle w:val="17"/>
            </w:pPr>
            <w:r>
              <w:t>1112.22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1108.89</w:t>
            </w:r>
          </w:p>
        </w:tc>
        <w:tc>
          <w:tcPr>
            <w:tcW w:w="1474" w:type="dxa"/>
            <w:vAlign w:val="center"/>
          </w:tcPr>
          <w:p>
            <w:pPr>
              <w:pStyle w:val="17"/>
            </w:pPr>
            <w:r>
              <w:t>1108.89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30551.82</w:t>
            </w:r>
          </w:p>
        </w:tc>
        <w:tc>
          <w:tcPr>
            <w:tcW w:w="3402" w:type="dxa"/>
            <w:vAlign w:val="center"/>
          </w:tcPr>
          <w:p>
            <w:pPr>
              <w:pStyle w:val="20"/>
            </w:pPr>
            <w:r>
              <w:t>本年支出合计</w:t>
            </w:r>
          </w:p>
        </w:tc>
        <w:tc>
          <w:tcPr>
            <w:tcW w:w="1474" w:type="dxa"/>
            <w:vAlign w:val="center"/>
          </w:tcPr>
          <w:p>
            <w:pPr>
              <w:pStyle w:val="21"/>
            </w:pPr>
            <w:r>
              <w:t>30686.98</w:t>
            </w:r>
          </w:p>
        </w:tc>
        <w:tc>
          <w:tcPr>
            <w:tcW w:w="1474" w:type="dxa"/>
            <w:vAlign w:val="center"/>
          </w:tcPr>
          <w:p>
            <w:pPr>
              <w:pStyle w:val="21"/>
            </w:pPr>
            <w:r>
              <w:t>30686.98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r>
              <w:t>135.16</w:t>
            </w: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r>
              <w:t>135.16</w:t>
            </w: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30686.98</w:t>
            </w:r>
          </w:p>
        </w:tc>
        <w:tc>
          <w:tcPr>
            <w:tcW w:w="3402" w:type="dxa"/>
            <w:vAlign w:val="center"/>
          </w:tcPr>
          <w:p>
            <w:pPr>
              <w:pStyle w:val="20"/>
            </w:pPr>
            <w:r>
              <w:t>支出总计</w:t>
            </w:r>
          </w:p>
        </w:tc>
        <w:tc>
          <w:tcPr>
            <w:tcW w:w="1474" w:type="dxa"/>
            <w:vAlign w:val="center"/>
          </w:tcPr>
          <w:p>
            <w:pPr>
              <w:pStyle w:val="21"/>
            </w:pPr>
            <w:r>
              <w:t>30686.98</w:t>
            </w:r>
          </w:p>
        </w:tc>
        <w:tc>
          <w:tcPr>
            <w:tcW w:w="1474" w:type="dxa"/>
            <w:vAlign w:val="center"/>
          </w:tcPr>
          <w:p>
            <w:pPr>
              <w:pStyle w:val="21"/>
            </w:pPr>
            <w:r>
              <w:t>30686.98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30686.98</w:t>
            </w:r>
          </w:p>
        </w:tc>
        <w:tc>
          <w:tcPr>
            <w:tcW w:w="2551" w:type="dxa"/>
            <w:vAlign w:val="center"/>
          </w:tcPr>
          <w:p>
            <w:pPr>
              <w:pStyle w:val="21"/>
            </w:pPr>
            <w:r>
              <w:t>19020.60</w:t>
            </w:r>
          </w:p>
        </w:tc>
        <w:tc>
          <w:tcPr>
            <w:tcW w:w="2551" w:type="dxa"/>
            <w:vAlign w:val="center"/>
          </w:tcPr>
          <w:p>
            <w:pPr>
              <w:pStyle w:val="21"/>
            </w:pPr>
            <w:r>
              <w:t>11666.38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7"/>
            </w:pPr>
            <w:r>
              <w:t>25101.59</w:t>
            </w:r>
          </w:p>
        </w:tc>
        <w:tc>
          <w:tcPr>
            <w:tcW w:w="2551" w:type="dxa"/>
            <w:vAlign w:val="center"/>
          </w:tcPr>
          <w:p>
            <w:pPr>
              <w:pStyle w:val="17"/>
            </w:pPr>
            <w:r>
              <w:t>13435.21</w:t>
            </w:r>
          </w:p>
        </w:tc>
        <w:tc>
          <w:tcPr>
            <w:tcW w:w="2551" w:type="dxa"/>
            <w:vAlign w:val="center"/>
          </w:tcPr>
          <w:p>
            <w:pPr>
              <w:pStyle w:val="17"/>
            </w:pPr>
            <w:r>
              <w:t>11666.38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20111</w:t>
            </w:r>
          </w:p>
        </w:tc>
        <w:tc>
          <w:tcPr>
            <w:tcW w:w="4535" w:type="dxa"/>
            <w:vAlign w:val="center"/>
          </w:tcPr>
          <w:p>
            <w:pPr>
              <w:pStyle w:val="18"/>
            </w:pPr>
            <w:r>
              <w:t>纪检监察事务</w:t>
            </w:r>
          </w:p>
        </w:tc>
        <w:tc>
          <w:tcPr>
            <w:tcW w:w="2551" w:type="dxa"/>
            <w:vAlign w:val="center"/>
          </w:tcPr>
          <w:p>
            <w:pPr>
              <w:pStyle w:val="17"/>
            </w:pPr>
            <w:r>
              <w:t>25101.59</w:t>
            </w:r>
          </w:p>
        </w:tc>
        <w:tc>
          <w:tcPr>
            <w:tcW w:w="2551" w:type="dxa"/>
            <w:vAlign w:val="center"/>
          </w:tcPr>
          <w:p>
            <w:pPr>
              <w:pStyle w:val="17"/>
            </w:pPr>
            <w:r>
              <w:t>13435.21</w:t>
            </w:r>
          </w:p>
        </w:tc>
        <w:tc>
          <w:tcPr>
            <w:tcW w:w="2551" w:type="dxa"/>
            <w:vAlign w:val="center"/>
          </w:tcPr>
          <w:p>
            <w:pPr>
              <w:pStyle w:val="17"/>
            </w:pPr>
            <w:r>
              <w:t>11666.38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4</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3364.28</w:t>
            </w:r>
          </w:p>
        </w:tc>
        <w:tc>
          <w:tcPr>
            <w:tcW w:w="2551" w:type="dxa"/>
            <w:vAlign w:val="center"/>
          </w:tcPr>
          <w:p>
            <w:pPr>
              <w:pStyle w:val="17"/>
            </w:pPr>
            <w:r>
              <w:t>3364.28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5</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3364.28</w:t>
            </w:r>
          </w:p>
        </w:tc>
        <w:tc>
          <w:tcPr>
            <w:tcW w:w="2551" w:type="dxa"/>
            <w:vAlign w:val="center"/>
          </w:tcPr>
          <w:p>
            <w:pPr>
              <w:pStyle w:val="17"/>
            </w:pPr>
            <w:r>
              <w:t>3364.28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6</w:t>
            </w:r>
          </w:p>
        </w:tc>
        <w:tc>
          <w:tcPr>
            <w:tcW w:w="1191" w:type="dxa"/>
            <w:vAlign w:val="center"/>
          </w:tcPr>
          <w:p>
            <w:pPr>
              <w:pStyle w:val="18"/>
            </w:pPr>
            <w:r>
              <w:t>2080501</w:t>
            </w:r>
          </w:p>
        </w:tc>
        <w:tc>
          <w:tcPr>
            <w:tcW w:w="4535" w:type="dxa"/>
            <w:vAlign w:val="center"/>
          </w:tcPr>
          <w:p>
            <w:pPr>
              <w:pStyle w:val="18"/>
            </w:pPr>
            <w:r>
              <w:t>行政单位离退休</w:t>
            </w:r>
          </w:p>
        </w:tc>
        <w:tc>
          <w:tcPr>
            <w:tcW w:w="2551" w:type="dxa"/>
            <w:vAlign w:val="center"/>
          </w:tcPr>
          <w:p>
            <w:pPr>
              <w:pStyle w:val="17"/>
            </w:pPr>
            <w:r>
              <w:t>1381.74</w:t>
            </w:r>
          </w:p>
        </w:tc>
        <w:tc>
          <w:tcPr>
            <w:tcW w:w="2551" w:type="dxa"/>
            <w:vAlign w:val="center"/>
          </w:tcPr>
          <w:p>
            <w:pPr>
              <w:pStyle w:val="17"/>
            </w:pPr>
            <w:r>
              <w:t>1381.74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7</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15.06</w:t>
            </w:r>
          </w:p>
        </w:tc>
        <w:tc>
          <w:tcPr>
            <w:tcW w:w="2551" w:type="dxa"/>
            <w:vAlign w:val="center"/>
          </w:tcPr>
          <w:p>
            <w:pPr>
              <w:pStyle w:val="17"/>
            </w:pPr>
            <w:r>
              <w:t>15.06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1311.65</w:t>
            </w:r>
          </w:p>
        </w:tc>
        <w:tc>
          <w:tcPr>
            <w:tcW w:w="2551" w:type="dxa"/>
            <w:vAlign w:val="center"/>
          </w:tcPr>
          <w:p>
            <w:pPr>
              <w:pStyle w:val="17"/>
            </w:pPr>
            <w:r>
              <w:t>1311.65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9</w:t>
            </w:r>
          </w:p>
        </w:tc>
        <w:tc>
          <w:tcPr>
            <w:tcW w:w="1191" w:type="dxa"/>
            <w:vAlign w:val="center"/>
          </w:tcPr>
          <w:p>
            <w:pPr>
              <w:pStyle w:val="18"/>
            </w:pPr>
            <w:r>
              <w:t>2080506</w:t>
            </w:r>
          </w:p>
        </w:tc>
        <w:tc>
          <w:tcPr>
            <w:tcW w:w="4535" w:type="dxa"/>
            <w:vAlign w:val="center"/>
          </w:tcPr>
          <w:p>
            <w:pPr>
              <w:pStyle w:val="18"/>
            </w:pPr>
            <w:r>
              <w:t>机关事业单位职业年金缴费支出</w:t>
            </w:r>
          </w:p>
        </w:tc>
        <w:tc>
          <w:tcPr>
            <w:tcW w:w="2551" w:type="dxa"/>
            <w:vAlign w:val="center"/>
          </w:tcPr>
          <w:p>
            <w:pPr>
              <w:pStyle w:val="17"/>
            </w:pPr>
            <w:r>
              <w:t>655.83</w:t>
            </w:r>
          </w:p>
        </w:tc>
        <w:tc>
          <w:tcPr>
            <w:tcW w:w="2551" w:type="dxa"/>
            <w:vAlign w:val="center"/>
          </w:tcPr>
          <w:p>
            <w:pPr>
              <w:pStyle w:val="17"/>
            </w:pPr>
            <w:r>
              <w:t>655.83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0</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1112.22</w:t>
            </w:r>
          </w:p>
        </w:tc>
        <w:tc>
          <w:tcPr>
            <w:tcW w:w="2551" w:type="dxa"/>
            <w:vAlign w:val="center"/>
          </w:tcPr>
          <w:p>
            <w:pPr>
              <w:pStyle w:val="17"/>
            </w:pPr>
            <w:r>
              <w:t>1112.22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1</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1112.22</w:t>
            </w:r>
          </w:p>
        </w:tc>
        <w:tc>
          <w:tcPr>
            <w:tcW w:w="2551" w:type="dxa"/>
            <w:vAlign w:val="center"/>
          </w:tcPr>
          <w:p>
            <w:pPr>
              <w:pStyle w:val="17"/>
            </w:pPr>
            <w:r>
              <w:t>1112.22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2</w:t>
            </w:r>
          </w:p>
        </w:tc>
        <w:tc>
          <w:tcPr>
            <w:tcW w:w="1191" w:type="dxa"/>
            <w:vAlign w:val="center"/>
          </w:tcPr>
          <w:p>
            <w:pPr>
              <w:pStyle w:val="18"/>
            </w:pPr>
            <w:r>
              <w:t>2101101</w:t>
            </w:r>
          </w:p>
        </w:tc>
        <w:tc>
          <w:tcPr>
            <w:tcW w:w="4535" w:type="dxa"/>
            <w:vAlign w:val="center"/>
          </w:tcPr>
          <w:p>
            <w:pPr>
              <w:pStyle w:val="18"/>
            </w:pPr>
            <w:r>
              <w:t>行政单位医疗</w:t>
            </w:r>
          </w:p>
        </w:tc>
        <w:tc>
          <w:tcPr>
            <w:tcW w:w="2551" w:type="dxa"/>
            <w:vAlign w:val="center"/>
          </w:tcPr>
          <w:p>
            <w:pPr>
              <w:pStyle w:val="17"/>
            </w:pPr>
            <w:r>
              <w:t>1089.04</w:t>
            </w:r>
          </w:p>
        </w:tc>
        <w:tc>
          <w:tcPr>
            <w:tcW w:w="2551" w:type="dxa"/>
            <w:vAlign w:val="center"/>
          </w:tcPr>
          <w:p>
            <w:pPr>
              <w:pStyle w:val="17"/>
            </w:pPr>
            <w:r>
              <w:t>1089.04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t>1</w:t>
            </w:r>
            <w:r>
              <w:rPr>
                <w:rFonts w:hint="eastAsia"/>
                <w:lang w:eastAsia="zh-CN"/>
              </w:rPr>
              <w:t>3</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23.18</w:t>
            </w:r>
          </w:p>
        </w:tc>
        <w:tc>
          <w:tcPr>
            <w:tcW w:w="2551" w:type="dxa"/>
            <w:vAlign w:val="center"/>
          </w:tcPr>
          <w:p>
            <w:pPr>
              <w:pStyle w:val="17"/>
            </w:pPr>
            <w:r>
              <w:t>23.18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14</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1108.89</w:t>
            </w:r>
          </w:p>
        </w:tc>
        <w:tc>
          <w:tcPr>
            <w:tcW w:w="2551" w:type="dxa"/>
            <w:vAlign w:val="center"/>
          </w:tcPr>
          <w:p>
            <w:pPr>
              <w:pStyle w:val="17"/>
            </w:pPr>
            <w:r>
              <w:t>1108.89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15</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1108.89</w:t>
            </w:r>
          </w:p>
        </w:tc>
        <w:tc>
          <w:tcPr>
            <w:tcW w:w="2551" w:type="dxa"/>
            <w:vAlign w:val="center"/>
          </w:tcPr>
          <w:p>
            <w:pPr>
              <w:pStyle w:val="17"/>
            </w:pPr>
            <w:r>
              <w:t>1108.89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rPr>
                <w:lang w:eastAsia="zh-CN"/>
              </w:rPr>
            </w:pPr>
            <w:r>
              <w:rPr>
                <w:rFonts w:hint="eastAsia"/>
                <w:lang w:eastAsia="zh-CN"/>
              </w:rPr>
              <w:t>16</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1108.89</w:t>
            </w:r>
          </w:p>
        </w:tc>
        <w:tc>
          <w:tcPr>
            <w:tcW w:w="2551" w:type="dxa"/>
            <w:vAlign w:val="center"/>
          </w:tcPr>
          <w:p>
            <w:pPr>
              <w:pStyle w:val="17"/>
            </w:pPr>
            <w:r>
              <w:t>1108.89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2"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2"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19020.60</w:t>
            </w:r>
          </w:p>
        </w:tc>
        <w:tc>
          <w:tcPr>
            <w:tcW w:w="2551" w:type="dxa"/>
            <w:vAlign w:val="center"/>
          </w:tcPr>
          <w:p>
            <w:pPr>
              <w:pStyle w:val="21"/>
            </w:pPr>
            <w:r>
              <w:t>15933.02</w:t>
            </w:r>
          </w:p>
        </w:tc>
        <w:tc>
          <w:tcPr>
            <w:tcW w:w="2552" w:type="dxa"/>
            <w:vAlign w:val="center"/>
          </w:tcPr>
          <w:p>
            <w:pPr>
              <w:pStyle w:val="21"/>
            </w:pPr>
            <w:r>
              <w:t>3087.58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14566.96</w:t>
            </w:r>
          </w:p>
        </w:tc>
        <w:tc>
          <w:tcPr>
            <w:tcW w:w="2551" w:type="dxa"/>
            <w:vAlign w:val="center"/>
          </w:tcPr>
          <w:p>
            <w:pPr>
              <w:pStyle w:val="17"/>
            </w:pPr>
            <w:r>
              <w:t>14566.96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3301.67</w:t>
            </w:r>
          </w:p>
        </w:tc>
        <w:tc>
          <w:tcPr>
            <w:tcW w:w="2551" w:type="dxa"/>
            <w:vAlign w:val="center"/>
          </w:tcPr>
          <w:p>
            <w:pPr>
              <w:pStyle w:val="17"/>
            </w:pPr>
            <w:r>
              <w:t>3301.67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3150.65</w:t>
            </w:r>
          </w:p>
        </w:tc>
        <w:tc>
          <w:tcPr>
            <w:tcW w:w="2551" w:type="dxa"/>
            <w:vAlign w:val="center"/>
          </w:tcPr>
          <w:p>
            <w:pPr>
              <w:pStyle w:val="17"/>
            </w:pPr>
            <w:r>
              <w:t>3150.65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3261.39</w:t>
            </w:r>
          </w:p>
        </w:tc>
        <w:tc>
          <w:tcPr>
            <w:tcW w:w="2551" w:type="dxa"/>
            <w:vAlign w:val="center"/>
          </w:tcPr>
          <w:p>
            <w:pPr>
              <w:pStyle w:val="17"/>
            </w:pPr>
            <w:r>
              <w:t>3261.39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55.42</w:t>
            </w:r>
          </w:p>
        </w:tc>
        <w:tc>
          <w:tcPr>
            <w:tcW w:w="2551" w:type="dxa"/>
            <w:vAlign w:val="center"/>
          </w:tcPr>
          <w:p>
            <w:pPr>
              <w:pStyle w:val="17"/>
            </w:pPr>
            <w:r>
              <w:t>55.42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1311.65</w:t>
            </w:r>
          </w:p>
        </w:tc>
        <w:tc>
          <w:tcPr>
            <w:tcW w:w="2551" w:type="dxa"/>
            <w:vAlign w:val="center"/>
          </w:tcPr>
          <w:p>
            <w:pPr>
              <w:pStyle w:val="17"/>
            </w:pPr>
            <w:r>
              <w:t>1311.65</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30109</w:t>
            </w:r>
          </w:p>
        </w:tc>
        <w:tc>
          <w:tcPr>
            <w:tcW w:w="4535" w:type="dxa"/>
            <w:vAlign w:val="center"/>
          </w:tcPr>
          <w:p>
            <w:pPr>
              <w:pStyle w:val="18"/>
            </w:pPr>
            <w:r>
              <w:t>职业年金缴费</w:t>
            </w:r>
          </w:p>
        </w:tc>
        <w:tc>
          <w:tcPr>
            <w:tcW w:w="2551" w:type="dxa"/>
            <w:vAlign w:val="center"/>
          </w:tcPr>
          <w:p>
            <w:pPr>
              <w:pStyle w:val="17"/>
            </w:pPr>
            <w:r>
              <w:t>655.83</w:t>
            </w:r>
          </w:p>
        </w:tc>
        <w:tc>
          <w:tcPr>
            <w:tcW w:w="2551" w:type="dxa"/>
            <w:vAlign w:val="center"/>
          </w:tcPr>
          <w:p>
            <w:pPr>
              <w:pStyle w:val="17"/>
            </w:pPr>
            <w:r>
              <w:t>655.83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486.84</w:t>
            </w:r>
          </w:p>
        </w:tc>
        <w:tc>
          <w:tcPr>
            <w:tcW w:w="2551" w:type="dxa"/>
            <w:vAlign w:val="center"/>
          </w:tcPr>
          <w:p>
            <w:pPr>
              <w:pStyle w:val="17"/>
            </w:pPr>
            <w:r>
              <w:t>486.84</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30111</w:t>
            </w:r>
          </w:p>
        </w:tc>
        <w:tc>
          <w:tcPr>
            <w:tcW w:w="4535" w:type="dxa"/>
            <w:vAlign w:val="center"/>
          </w:tcPr>
          <w:p>
            <w:pPr>
              <w:pStyle w:val="18"/>
            </w:pPr>
            <w:r>
              <w:t>公务员医疗补助缴费</w:t>
            </w:r>
          </w:p>
        </w:tc>
        <w:tc>
          <w:tcPr>
            <w:tcW w:w="2551" w:type="dxa"/>
            <w:vAlign w:val="center"/>
          </w:tcPr>
          <w:p>
            <w:pPr>
              <w:pStyle w:val="17"/>
            </w:pPr>
            <w:r>
              <w:t>611.82</w:t>
            </w:r>
          </w:p>
        </w:tc>
        <w:tc>
          <w:tcPr>
            <w:tcW w:w="2551" w:type="dxa"/>
            <w:vAlign w:val="center"/>
          </w:tcPr>
          <w:p>
            <w:pPr>
              <w:pStyle w:val="17"/>
            </w:pPr>
            <w:r>
              <w:t>611.82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45.38</w:t>
            </w:r>
          </w:p>
        </w:tc>
        <w:tc>
          <w:tcPr>
            <w:tcW w:w="2551" w:type="dxa"/>
            <w:vAlign w:val="center"/>
          </w:tcPr>
          <w:p>
            <w:pPr>
              <w:pStyle w:val="17"/>
            </w:pPr>
            <w:r>
              <w:t>45.38</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1108.89</w:t>
            </w:r>
          </w:p>
        </w:tc>
        <w:tc>
          <w:tcPr>
            <w:tcW w:w="2551" w:type="dxa"/>
            <w:vAlign w:val="center"/>
          </w:tcPr>
          <w:p>
            <w:pPr>
              <w:pStyle w:val="17"/>
            </w:pPr>
            <w:r>
              <w:t>1108.89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577.42</w:t>
            </w:r>
          </w:p>
        </w:tc>
        <w:tc>
          <w:tcPr>
            <w:tcW w:w="2551" w:type="dxa"/>
            <w:vAlign w:val="center"/>
          </w:tcPr>
          <w:p>
            <w:pPr>
              <w:pStyle w:val="17"/>
            </w:pPr>
            <w:r>
              <w:t>577.42</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2958.81</w:t>
            </w:r>
          </w:p>
        </w:tc>
        <w:tc>
          <w:tcPr>
            <w:tcW w:w="2551" w:type="dxa"/>
            <w:vAlign w:val="center"/>
          </w:tcPr>
          <w:p>
            <w:pPr>
              <w:pStyle w:val="17"/>
            </w:pPr>
          </w:p>
        </w:tc>
        <w:tc>
          <w:tcPr>
            <w:tcW w:w="2552" w:type="dxa"/>
            <w:vAlign w:val="center"/>
          </w:tcPr>
          <w:p>
            <w:pPr>
              <w:pStyle w:val="17"/>
            </w:pPr>
            <w:r>
              <w:t>2958.81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122.18</w:t>
            </w:r>
          </w:p>
        </w:tc>
        <w:tc>
          <w:tcPr>
            <w:tcW w:w="2551" w:type="dxa"/>
            <w:vAlign w:val="center"/>
          </w:tcPr>
          <w:p>
            <w:pPr>
              <w:pStyle w:val="17"/>
            </w:pPr>
          </w:p>
        </w:tc>
        <w:tc>
          <w:tcPr>
            <w:tcW w:w="2552" w:type="dxa"/>
            <w:vAlign w:val="center"/>
          </w:tcPr>
          <w:p>
            <w:pPr>
              <w:pStyle w:val="17"/>
            </w:pPr>
            <w:r>
              <w:t>122.18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173.38</w:t>
            </w:r>
          </w:p>
        </w:tc>
        <w:tc>
          <w:tcPr>
            <w:tcW w:w="2551" w:type="dxa"/>
            <w:vAlign w:val="center"/>
          </w:tcPr>
          <w:p>
            <w:pPr>
              <w:pStyle w:val="17"/>
            </w:pPr>
          </w:p>
        </w:tc>
        <w:tc>
          <w:tcPr>
            <w:tcW w:w="2552" w:type="dxa"/>
            <w:vAlign w:val="center"/>
          </w:tcPr>
          <w:p>
            <w:pPr>
              <w:pStyle w:val="17"/>
            </w:pPr>
            <w:r>
              <w:t>173.38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17.80</w:t>
            </w:r>
          </w:p>
        </w:tc>
        <w:tc>
          <w:tcPr>
            <w:tcW w:w="2551" w:type="dxa"/>
            <w:vAlign w:val="center"/>
          </w:tcPr>
          <w:p>
            <w:pPr>
              <w:pStyle w:val="17"/>
            </w:pPr>
          </w:p>
        </w:tc>
        <w:tc>
          <w:tcPr>
            <w:tcW w:w="2552" w:type="dxa"/>
            <w:vAlign w:val="center"/>
          </w:tcPr>
          <w:p>
            <w:pPr>
              <w:pStyle w:val="17"/>
            </w:pPr>
            <w:r>
              <w:t>17.80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121.00</w:t>
            </w:r>
          </w:p>
        </w:tc>
        <w:tc>
          <w:tcPr>
            <w:tcW w:w="2551" w:type="dxa"/>
            <w:vAlign w:val="center"/>
          </w:tcPr>
          <w:p>
            <w:pPr>
              <w:pStyle w:val="17"/>
            </w:pPr>
          </w:p>
        </w:tc>
        <w:tc>
          <w:tcPr>
            <w:tcW w:w="2552" w:type="dxa"/>
            <w:vAlign w:val="center"/>
          </w:tcPr>
          <w:p>
            <w:pPr>
              <w:pStyle w:val="17"/>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448.26</w:t>
            </w:r>
          </w:p>
        </w:tc>
        <w:tc>
          <w:tcPr>
            <w:tcW w:w="2551" w:type="dxa"/>
            <w:vAlign w:val="center"/>
          </w:tcPr>
          <w:p>
            <w:pPr>
              <w:pStyle w:val="17"/>
            </w:pPr>
          </w:p>
        </w:tc>
        <w:tc>
          <w:tcPr>
            <w:tcW w:w="2552" w:type="dxa"/>
            <w:vAlign w:val="center"/>
          </w:tcPr>
          <w:p>
            <w:pPr>
              <w:pStyle w:val="17"/>
            </w:pPr>
            <w:r>
              <w:t>448.26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7"/>
            </w:pPr>
            <w:r>
              <w:t>61.00</w:t>
            </w:r>
          </w:p>
        </w:tc>
        <w:tc>
          <w:tcPr>
            <w:tcW w:w="2551" w:type="dxa"/>
            <w:vAlign w:val="center"/>
          </w:tcPr>
          <w:p>
            <w:pPr>
              <w:pStyle w:val="17"/>
            </w:pPr>
          </w:p>
        </w:tc>
        <w:tc>
          <w:tcPr>
            <w:tcW w:w="2552" w:type="dxa"/>
            <w:vAlign w:val="center"/>
          </w:tcPr>
          <w:p>
            <w:pPr>
              <w:pStyle w:val="17"/>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164.00</w:t>
            </w:r>
          </w:p>
        </w:tc>
        <w:tc>
          <w:tcPr>
            <w:tcW w:w="2551" w:type="dxa"/>
            <w:vAlign w:val="center"/>
          </w:tcPr>
          <w:p>
            <w:pPr>
              <w:pStyle w:val="17"/>
            </w:pPr>
          </w:p>
        </w:tc>
        <w:tc>
          <w:tcPr>
            <w:tcW w:w="2552" w:type="dxa"/>
            <w:vAlign w:val="center"/>
          </w:tcPr>
          <w:p>
            <w:pPr>
              <w:pStyle w:val="17"/>
            </w:pPr>
            <w:r>
              <w:t>164.00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199.42</w:t>
            </w:r>
          </w:p>
        </w:tc>
        <w:tc>
          <w:tcPr>
            <w:tcW w:w="2551" w:type="dxa"/>
            <w:vAlign w:val="center"/>
          </w:tcPr>
          <w:p>
            <w:pPr>
              <w:pStyle w:val="17"/>
            </w:pPr>
          </w:p>
        </w:tc>
        <w:tc>
          <w:tcPr>
            <w:tcW w:w="2552" w:type="dxa"/>
            <w:vAlign w:val="center"/>
          </w:tcPr>
          <w:p>
            <w:pPr>
              <w:pStyle w:val="17"/>
            </w:pPr>
            <w:r>
              <w:t>199.42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85.00</w:t>
            </w:r>
          </w:p>
        </w:tc>
        <w:tc>
          <w:tcPr>
            <w:tcW w:w="2551" w:type="dxa"/>
            <w:vAlign w:val="center"/>
          </w:tcPr>
          <w:p>
            <w:pPr>
              <w:pStyle w:val="17"/>
            </w:pPr>
          </w:p>
        </w:tc>
        <w:tc>
          <w:tcPr>
            <w:tcW w:w="2552" w:type="dxa"/>
            <w:vAlign w:val="center"/>
          </w:tcPr>
          <w:p>
            <w:pPr>
              <w:pStyle w:val="17"/>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30214</w:t>
            </w:r>
          </w:p>
        </w:tc>
        <w:tc>
          <w:tcPr>
            <w:tcW w:w="4535" w:type="dxa"/>
            <w:vAlign w:val="center"/>
          </w:tcPr>
          <w:p>
            <w:pPr>
              <w:pStyle w:val="18"/>
            </w:pPr>
            <w:r>
              <w:t>租赁费</w:t>
            </w:r>
          </w:p>
        </w:tc>
        <w:tc>
          <w:tcPr>
            <w:tcW w:w="2551" w:type="dxa"/>
            <w:vAlign w:val="center"/>
          </w:tcPr>
          <w:p>
            <w:pPr>
              <w:pStyle w:val="17"/>
            </w:pPr>
            <w:r>
              <w:t>1.28</w:t>
            </w:r>
          </w:p>
        </w:tc>
        <w:tc>
          <w:tcPr>
            <w:tcW w:w="2551" w:type="dxa"/>
            <w:vAlign w:val="center"/>
          </w:tcPr>
          <w:p>
            <w:pPr>
              <w:pStyle w:val="17"/>
            </w:pPr>
          </w:p>
        </w:tc>
        <w:tc>
          <w:tcPr>
            <w:tcW w:w="2552" w:type="dxa"/>
            <w:vAlign w:val="center"/>
          </w:tcPr>
          <w:p>
            <w:pPr>
              <w:pStyle w:val="17"/>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pPr>
            <w:r>
              <w:t>53.00</w:t>
            </w:r>
          </w:p>
        </w:tc>
        <w:tc>
          <w:tcPr>
            <w:tcW w:w="2551" w:type="dxa"/>
            <w:vAlign w:val="center"/>
          </w:tcPr>
          <w:p>
            <w:pPr>
              <w:pStyle w:val="17"/>
            </w:pPr>
          </w:p>
        </w:tc>
        <w:tc>
          <w:tcPr>
            <w:tcW w:w="2552" w:type="dxa"/>
            <w:vAlign w:val="center"/>
          </w:tcPr>
          <w:p>
            <w:pPr>
              <w:pStyle w:val="17"/>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pPr>
            <w:r>
              <w:t>9.36</w:t>
            </w:r>
          </w:p>
        </w:tc>
        <w:tc>
          <w:tcPr>
            <w:tcW w:w="2551" w:type="dxa"/>
            <w:vAlign w:val="center"/>
          </w:tcPr>
          <w:p>
            <w:pPr>
              <w:pStyle w:val="17"/>
            </w:pPr>
          </w:p>
        </w:tc>
        <w:tc>
          <w:tcPr>
            <w:tcW w:w="2552" w:type="dxa"/>
            <w:vAlign w:val="center"/>
          </w:tcPr>
          <w:p>
            <w:pPr>
              <w:pStyle w:val="17"/>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1191" w:type="dxa"/>
            <w:vAlign w:val="center"/>
          </w:tcPr>
          <w:p>
            <w:pPr>
              <w:pStyle w:val="18"/>
            </w:pPr>
            <w:r>
              <w:t>30226</w:t>
            </w:r>
          </w:p>
        </w:tc>
        <w:tc>
          <w:tcPr>
            <w:tcW w:w="4535" w:type="dxa"/>
            <w:vAlign w:val="center"/>
          </w:tcPr>
          <w:p>
            <w:pPr>
              <w:pStyle w:val="18"/>
            </w:pPr>
            <w:r>
              <w:t>劳务费</w:t>
            </w:r>
          </w:p>
        </w:tc>
        <w:tc>
          <w:tcPr>
            <w:tcW w:w="2551" w:type="dxa"/>
            <w:vAlign w:val="center"/>
          </w:tcPr>
          <w:p>
            <w:pPr>
              <w:pStyle w:val="17"/>
            </w:pPr>
            <w:r>
              <w:t>5.00</w:t>
            </w:r>
          </w:p>
        </w:tc>
        <w:tc>
          <w:tcPr>
            <w:tcW w:w="2551" w:type="dxa"/>
            <w:vAlign w:val="center"/>
          </w:tcPr>
          <w:p>
            <w:pPr>
              <w:pStyle w:val="17"/>
            </w:pPr>
          </w:p>
        </w:tc>
        <w:tc>
          <w:tcPr>
            <w:tcW w:w="2552"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1191" w:type="dxa"/>
            <w:vAlign w:val="center"/>
          </w:tcPr>
          <w:p>
            <w:pPr>
              <w:pStyle w:val="18"/>
            </w:pPr>
            <w:r>
              <w:t>30227</w:t>
            </w:r>
          </w:p>
        </w:tc>
        <w:tc>
          <w:tcPr>
            <w:tcW w:w="4535" w:type="dxa"/>
            <w:vAlign w:val="center"/>
          </w:tcPr>
          <w:p>
            <w:pPr>
              <w:pStyle w:val="18"/>
            </w:pPr>
            <w:r>
              <w:t>委托业务费</w:t>
            </w:r>
          </w:p>
        </w:tc>
        <w:tc>
          <w:tcPr>
            <w:tcW w:w="2551" w:type="dxa"/>
            <w:vAlign w:val="center"/>
          </w:tcPr>
          <w:p>
            <w:pPr>
              <w:pStyle w:val="17"/>
            </w:pPr>
            <w:r>
              <w:t>16.00</w:t>
            </w:r>
          </w:p>
        </w:tc>
        <w:tc>
          <w:tcPr>
            <w:tcW w:w="2551" w:type="dxa"/>
            <w:vAlign w:val="center"/>
          </w:tcPr>
          <w:p>
            <w:pPr>
              <w:pStyle w:val="17"/>
            </w:pPr>
          </w:p>
        </w:tc>
        <w:tc>
          <w:tcPr>
            <w:tcW w:w="2552" w:type="dxa"/>
            <w:vAlign w:val="center"/>
          </w:tcPr>
          <w:p>
            <w:pPr>
              <w:pStyle w:val="17"/>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131.99</w:t>
            </w:r>
          </w:p>
        </w:tc>
        <w:tc>
          <w:tcPr>
            <w:tcW w:w="2551" w:type="dxa"/>
            <w:vAlign w:val="center"/>
          </w:tcPr>
          <w:p>
            <w:pPr>
              <w:pStyle w:val="17"/>
            </w:pPr>
          </w:p>
        </w:tc>
        <w:tc>
          <w:tcPr>
            <w:tcW w:w="2552" w:type="dxa"/>
            <w:vAlign w:val="center"/>
          </w:tcPr>
          <w:p>
            <w:pPr>
              <w:pStyle w:val="17"/>
            </w:pPr>
            <w:r>
              <w:t>131.99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91.57</w:t>
            </w:r>
          </w:p>
        </w:tc>
        <w:tc>
          <w:tcPr>
            <w:tcW w:w="2551" w:type="dxa"/>
            <w:vAlign w:val="center"/>
          </w:tcPr>
          <w:p>
            <w:pPr>
              <w:pStyle w:val="17"/>
            </w:pPr>
          </w:p>
        </w:tc>
        <w:tc>
          <w:tcPr>
            <w:tcW w:w="2552" w:type="dxa"/>
            <w:vAlign w:val="center"/>
          </w:tcPr>
          <w:p>
            <w:pPr>
              <w:pStyle w:val="17"/>
            </w:pPr>
            <w:r>
              <w:t>91.57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299.81</w:t>
            </w:r>
          </w:p>
        </w:tc>
        <w:tc>
          <w:tcPr>
            <w:tcW w:w="2551" w:type="dxa"/>
            <w:vAlign w:val="center"/>
          </w:tcPr>
          <w:p>
            <w:pPr>
              <w:pStyle w:val="17"/>
            </w:pPr>
          </w:p>
        </w:tc>
        <w:tc>
          <w:tcPr>
            <w:tcW w:w="2552" w:type="dxa"/>
            <w:vAlign w:val="center"/>
          </w:tcPr>
          <w:p>
            <w:pPr>
              <w:pStyle w:val="17"/>
            </w:pPr>
            <w:r>
              <w:t>299.81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pPr>
            <w:r>
              <w:t>764.60</w:t>
            </w:r>
          </w:p>
        </w:tc>
        <w:tc>
          <w:tcPr>
            <w:tcW w:w="2551" w:type="dxa"/>
            <w:vAlign w:val="center"/>
          </w:tcPr>
          <w:p>
            <w:pPr>
              <w:pStyle w:val="17"/>
            </w:pPr>
          </w:p>
        </w:tc>
        <w:tc>
          <w:tcPr>
            <w:tcW w:w="2552" w:type="dxa"/>
            <w:vAlign w:val="center"/>
          </w:tcPr>
          <w:p>
            <w:pPr>
              <w:pStyle w:val="17"/>
            </w:pPr>
            <w:r>
              <w:t>764.60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pPr>
            <w:r>
              <w:t>194.16</w:t>
            </w:r>
          </w:p>
        </w:tc>
        <w:tc>
          <w:tcPr>
            <w:tcW w:w="2551" w:type="dxa"/>
            <w:vAlign w:val="center"/>
          </w:tcPr>
          <w:p>
            <w:pPr>
              <w:pStyle w:val="17"/>
            </w:pPr>
          </w:p>
        </w:tc>
        <w:tc>
          <w:tcPr>
            <w:tcW w:w="2552" w:type="dxa"/>
            <w:vAlign w:val="center"/>
          </w:tcPr>
          <w:p>
            <w:pPr>
              <w:pStyle w:val="17"/>
            </w:pPr>
            <w:r>
              <w:t>194.16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1366.06</w:t>
            </w:r>
          </w:p>
        </w:tc>
        <w:tc>
          <w:tcPr>
            <w:tcW w:w="2551" w:type="dxa"/>
            <w:vAlign w:val="center"/>
          </w:tcPr>
          <w:p>
            <w:pPr>
              <w:pStyle w:val="17"/>
            </w:pPr>
            <w:r>
              <w:t>1366.06</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1191" w:type="dxa"/>
            <w:vAlign w:val="center"/>
          </w:tcPr>
          <w:p>
            <w:pPr>
              <w:pStyle w:val="18"/>
            </w:pPr>
            <w:r>
              <w:t>30301</w:t>
            </w:r>
          </w:p>
        </w:tc>
        <w:tc>
          <w:tcPr>
            <w:tcW w:w="4535" w:type="dxa"/>
            <w:vAlign w:val="center"/>
          </w:tcPr>
          <w:p>
            <w:pPr>
              <w:pStyle w:val="18"/>
            </w:pPr>
            <w:r>
              <w:t>离休费</w:t>
            </w:r>
          </w:p>
        </w:tc>
        <w:tc>
          <w:tcPr>
            <w:tcW w:w="2551" w:type="dxa"/>
            <w:vAlign w:val="center"/>
          </w:tcPr>
          <w:p>
            <w:pPr>
              <w:pStyle w:val="17"/>
            </w:pPr>
            <w:r>
              <w:t>80.87</w:t>
            </w:r>
          </w:p>
        </w:tc>
        <w:tc>
          <w:tcPr>
            <w:tcW w:w="2551" w:type="dxa"/>
            <w:vAlign w:val="center"/>
          </w:tcPr>
          <w:p>
            <w:pPr>
              <w:pStyle w:val="17"/>
            </w:pPr>
            <w:r>
              <w:t>80.87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1266.79</w:t>
            </w:r>
          </w:p>
        </w:tc>
        <w:tc>
          <w:tcPr>
            <w:tcW w:w="2551" w:type="dxa"/>
            <w:vAlign w:val="center"/>
          </w:tcPr>
          <w:p>
            <w:pPr>
              <w:pStyle w:val="17"/>
            </w:pPr>
            <w:r>
              <w:t>1266.79</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7"/>
            </w:pPr>
            <w:r>
              <w:t>4.97</w:t>
            </w:r>
          </w:p>
        </w:tc>
        <w:tc>
          <w:tcPr>
            <w:tcW w:w="2551" w:type="dxa"/>
            <w:vAlign w:val="center"/>
          </w:tcPr>
          <w:p>
            <w:pPr>
              <w:pStyle w:val="17"/>
            </w:pPr>
            <w:r>
              <w:t>4.97</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38</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13.43</w:t>
            </w:r>
          </w:p>
        </w:tc>
        <w:tc>
          <w:tcPr>
            <w:tcW w:w="2551" w:type="dxa"/>
            <w:vAlign w:val="center"/>
          </w:tcPr>
          <w:p>
            <w:pPr>
              <w:pStyle w:val="17"/>
            </w:pPr>
            <w:r>
              <w:t>13.43</w:t>
            </w:r>
          </w:p>
        </w:tc>
        <w:tc>
          <w:tcPr>
            <w:tcW w:w="255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39</w:t>
            </w:r>
          </w:p>
        </w:tc>
        <w:tc>
          <w:tcPr>
            <w:tcW w:w="1191" w:type="dxa"/>
            <w:vAlign w:val="center"/>
          </w:tcPr>
          <w:p>
            <w:pPr>
              <w:pStyle w:val="18"/>
            </w:pPr>
            <w:r>
              <w:t>310</w:t>
            </w:r>
          </w:p>
        </w:tc>
        <w:tc>
          <w:tcPr>
            <w:tcW w:w="4535" w:type="dxa"/>
            <w:vAlign w:val="center"/>
          </w:tcPr>
          <w:p>
            <w:pPr>
              <w:pStyle w:val="18"/>
            </w:pPr>
            <w:r>
              <w:t>资本性支出</w:t>
            </w:r>
          </w:p>
        </w:tc>
        <w:tc>
          <w:tcPr>
            <w:tcW w:w="2551" w:type="dxa"/>
            <w:vAlign w:val="center"/>
          </w:tcPr>
          <w:p>
            <w:pPr>
              <w:pStyle w:val="17"/>
            </w:pPr>
            <w:r>
              <w:t>128.77</w:t>
            </w:r>
          </w:p>
        </w:tc>
        <w:tc>
          <w:tcPr>
            <w:tcW w:w="2551" w:type="dxa"/>
            <w:vAlign w:val="center"/>
          </w:tcPr>
          <w:p>
            <w:pPr>
              <w:pStyle w:val="17"/>
            </w:pPr>
          </w:p>
        </w:tc>
        <w:tc>
          <w:tcPr>
            <w:tcW w:w="2552" w:type="dxa"/>
            <w:vAlign w:val="center"/>
          </w:tcPr>
          <w:p>
            <w:pPr>
              <w:pStyle w:val="17"/>
            </w:pPr>
            <w:r>
              <w:t>128.77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r>
              <w:t>40</w:t>
            </w:r>
          </w:p>
        </w:tc>
        <w:tc>
          <w:tcPr>
            <w:tcW w:w="1191" w:type="dxa"/>
            <w:vAlign w:val="center"/>
          </w:tcPr>
          <w:p>
            <w:pPr>
              <w:pStyle w:val="18"/>
            </w:pPr>
            <w:r>
              <w:t>31002</w:t>
            </w:r>
          </w:p>
        </w:tc>
        <w:tc>
          <w:tcPr>
            <w:tcW w:w="4535" w:type="dxa"/>
            <w:vAlign w:val="center"/>
          </w:tcPr>
          <w:p>
            <w:pPr>
              <w:pStyle w:val="18"/>
            </w:pPr>
            <w:r>
              <w:t>办公设备购置</w:t>
            </w:r>
          </w:p>
        </w:tc>
        <w:tc>
          <w:tcPr>
            <w:tcW w:w="2551" w:type="dxa"/>
            <w:vAlign w:val="center"/>
          </w:tcPr>
          <w:p>
            <w:pPr>
              <w:pStyle w:val="17"/>
            </w:pPr>
            <w:r>
              <w:t>128.77</w:t>
            </w:r>
          </w:p>
        </w:tc>
        <w:tc>
          <w:tcPr>
            <w:tcW w:w="2551" w:type="dxa"/>
            <w:vAlign w:val="center"/>
          </w:tcPr>
          <w:p>
            <w:pPr>
              <w:pStyle w:val="17"/>
            </w:pPr>
          </w:p>
        </w:tc>
        <w:tc>
          <w:tcPr>
            <w:tcW w:w="2552" w:type="dxa"/>
            <w:vAlign w:val="center"/>
          </w:tcPr>
          <w:p>
            <w:pPr>
              <w:pStyle w:val="17"/>
            </w:pPr>
            <w:r>
              <w:t>128.77</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222中共河北省纪律检查委员会</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pStyle w:val="21"/>
            </w:pPr>
            <w:r>
              <w:t>364.42</w:t>
            </w:r>
          </w:p>
        </w:tc>
        <w:tc>
          <w:tcPr>
            <w:tcW w:w="2381" w:type="dxa"/>
            <w:vAlign w:val="center"/>
          </w:tcPr>
          <w:p>
            <w:pPr>
              <w:pStyle w:val="21"/>
            </w:pPr>
            <w:r>
              <w:t>364.42</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vAlign w:val="center"/>
          </w:tcPr>
          <w:p>
            <w:pPr>
              <w:pStyle w:val="17"/>
            </w:pPr>
            <w:r>
              <w:t>30.70</w:t>
            </w:r>
          </w:p>
        </w:tc>
        <w:tc>
          <w:tcPr>
            <w:tcW w:w="2381" w:type="dxa"/>
            <w:vAlign w:val="center"/>
          </w:tcPr>
          <w:p>
            <w:pPr>
              <w:pStyle w:val="17"/>
            </w:pPr>
            <w:r>
              <w:t>30.70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二、公务用车购置及运维费</w:t>
            </w:r>
          </w:p>
        </w:tc>
        <w:tc>
          <w:tcPr>
            <w:tcW w:w="2382" w:type="dxa"/>
            <w:vAlign w:val="center"/>
          </w:tcPr>
          <w:p>
            <w:pPr>
              <w:pStyle w:val="17"/>
            </w:pPr>
            <w:r>
              <w:t>324.36</w:t>
            </w:r>
          </w:p>
        </w:tc>
        <w:tc>
          <w:tcPr>
            <w:tcW w:w="2381" w:type="dxa"/>
            <w:vAlign w:val="center"/>
          </w:tcPr>
          <w:p>
            <w:pPr>
              <w:pStyle w:val="17"/>
            </w:pPr>
            <w:r>
              <w:t>324.36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其中：公务用车购置费</w:t>
            </w:r>
          </w:p>
        </w:tc>
        <w:tc>
          <w:tcPr>
            <w:tcW w:w="2382" w:type="dxa"/>
            <w:vAlign w:val="center"/>
          </w:tcPr>
          <w:p>
            <w:pPr>
              <w:pStyle w:val="17"/>
            </w:pPr>
            <w:r>
              <w:t>19.55</w:t>
            </w:r>
          </w:p>
        </w:tc>
        <w:tc>
          <w:tcPr>
            <w:tcW w:w="2381" w:type="dxa"/>
            <w:vAlign w:val="center"/>
          </w:tcPr>
          <w:p>
            <w:pPr>
              <w:pStyle w:val="17"/>
            </w:pPr>
            <w:r>
              <w:t>19.55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公务用车运行维护费</w:t>
            </w:r>
          </w:p>
        </w:tc>
        <w:tc>
          <w:tcPr>
            <w:tcW w:w="2382" w:type="dxa"/>
            <w:vAlign w:val="center"/>
          </w:tcPr>
          <w:p>
            <w:pPr>
              <w:pStyle w:val="17"/>
            </w:pPr>
            <w:r>
              <w:t>304.81</w:t>
            </w:r>
          </w:p>
        </w:tc>
        <w:tc>
          <w:tcPr>
            <w:tcW w:w="2381" w:type="dxa"/>
            <w:vAlign w:val="center"/>
          </w:tcPr>
          <w:p>
            <w:pPr>
              <w:pStyle w:val="17"/>
            </w:pPr>
            <w:r>
              <w:t>304.81</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三、公务接待费</w:t>
            </w:r>
          </w:p>
        </w:tc>
        <w:tc>
          <w:tcPr>
            <w:tcW w:w="2382" w:type="dxa"/>
            <w:vAlign w:val="center"/>
          </w:tcPr>
          <w:p>
            <w:pPr>
              <w:pStyle w:val="17"/>
            </w:pPr>
            <w:r>
              <w:t>9.36</w:t>
            </w:r>
          </w:p>
        </w:tc>
        <w:tc>
          <w:tcPr>
            <w:tcW w:w="2381" w:type="dxa"/>
            <w:vAlign w:val="center"/>
          </w:tcPr>
          <w:p>
            <w:pPr>
              <w:pStyle w:val="17"/>
            </w:pPr>
            <w:r>
              <w:t>9.36</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中共河北省纪律检查委员会2023年部门预算信息公开情况说明</w:t>
      </w:r>
    </w:p>
    <w:p>
      <w:pPr>
        <w:jc w:val="center"/>
      </w:pPr>
      <w:r>
        <w:rPr>
          <w:rFonts w:ascii="方正小标宋_GBK" w:hAnsi="方正小标宋_GBK" w:eastAsia="方正小标宋_GBK" w:cs="方正小标宋_GBK"/>
          <w:color w:val="000000"/>
          <w:sz w:val="44"/>
        </w:rPr>
        <w:t>中共河北省纪律检查委员会2023年部门预算信息公开情况说明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按照《预算法》、《地方预决算公开操作规程》和《关于进一步推进预算公开工作的实施意见》规定，现将中共河北省纪律检查委员会2023年部门预算公开如下：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rPr>
          <w:rFonts w:hint="eastAsia"/>
        </w:rPr>
        <w:t>（一）</w:t>
      </w:r>
      <w:r>
        <w:t>负责全省党的纪律检查工作。贯彻落实党中央和省委关于纪律检查工作的决策部署，维护党的章程和其他党内法规，检查党的路线方针政策和决议的执行情况，协助省委推进全面从严治党、加强党风建设和组织协调反腐败工作。</w:t>
      </w:r>
    </w:p>
    <w:p>
      <w:pPr>
        <w:pStyle w:val="23"/>
      </w:pPr>
      <w:r>
        <w:rPr>
          <w:rFonts w:hint="eastAsia"/>
        </w:rPr>
        <w:t>（</w:t>
      </w:r>
      <w:r>
        <w:rPr>
          <w:rFonts w:hint="eastAsia"/>
          <w:lang w:eastAsia="zh-CN"/>
        </w:rPr>
        <w:t>二</w:t>
      </w:r>
      <w:r>
        <w:rPr>
          <w:rFonts w:hint="eastAsia"/>
        </w:rPr>
        <w:t>）</w:t>
      </w:r>
      <w:r>
        <w:t>依照党的章程和其他党内法规履行监督、执纪、问责职责。负责经常对党员进行遵守纪律的教育，作出关于维护党纪的决定；对省委工作机关、省委批准设立的党组（党委），各市（含定州、辛集市）党委、纪委等党的组织和省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3"/>
      </w:pPr>
      <w:r>
        <w:rPr>
          <w:rFonts w:hint="eastAsia"/>
        </w:rPr>
        <w:t>（</w:t>
      </w:r>
      <w:r>
        <w:rPr>
          <w:rFonts w:hint="eastAsia"/>
          <w:lang w:eastAsia="zh-CN"/>
        </w:rPr>
        <w:t>三</w:t>
      </w:r>
      <w:r>
        <w:rPr>
          <w:rFonts w:hint="eastAsia"/>
        </w:rPr>
        <w:t>）</w:t>
      </w:r>
      <w:r>
        <w:t>支持配合巡视工作。承担巡视整改日常监督责任，做好巡视整改督查督办工作，依规依纪依法处置巡视移交的反映领导干部问题线索。</w:t>
      </w:r>
    </w:p>
    <w:p>
      <w:pPr>
        <w:pStyle w:val="23"/>
      </w:pPr>
      <w:r>
        <w:rPr>
          <w:rFonts w:hint="eastAsia"/>
        </w:rPr>
        <w:t>（</w:t>
      </w:r>
      <w:r>
        <w:rPr>
          <w:rFonts w:hint="eastAsia"/>
          <w:lang w:eastAsia="zh-CN"/>
        </w:rPr>
        <w:t>四</w:t>
      </w:r>
      <w:r>
        <w:rPr>
          <w:rFonts w:hint="eastAsia"/>
        </w:rPr>
        <w:t>）</w:t>
      </w:r>
      <w:r>
        <w:t>负责全省监察工作。贯彻落实党中央和省委关于监察工作的决策部署，维护宪法法律，依法对省委管理的行使公权力的公职人员进行监察，调查职务违法和职务犯罪，开展廉政建设和反腐败工作。</w:t>
      </w:r>
    </w:p>
    <w:p>
      <w:pPr>
        <w:pStyle w:val="23"/>
      </w:pPr>
      <w:r>
        <w:rPr>
          <w:rFonts w:hint="eastAsia"/>
        </w:rPr>
        <w:t>（</w:t>
      </w:r>
      <w:r>
        <w:rPr>
          <w:rFonts w:hint="eastAsia"/>
          <w:lang w:eastAsia="zh-CN"/>
        </w:rPr>
        <w:t>五</w:t>
      </w:r>
      <w:r>
        <w:rPr>
          <w:rFonts w:hint="eastAsia"/>
        </w:rPr>
        <w:t>）</w:t>
      </w:r>
      <w:r>
        <w:t>依照法律规定履行监督、调查、处置职责。推动开展廉政教育，对省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3"/>
      </w:pPr>
      <w:r>
        <w:rPr>
          <w:rFonts w:hint="eastAsia"/>
        </w:rPr>
        <w:t>（</w:t>
      </w:r>
      <w:r>
        <w:rPr>
          <w:rFonts w:hint="eastAsia"/>
          <w:lang w:eastAsia="zh-CN"/>
        </w:rPr>
        <w:t>六</w:t>
      </w:r>
      <w:r>
        <w:rPr>
          <w:rFonts w:hint="eastAsia"/>
        </w:rPr>
        <w:t>）</w:t>
      </w:r>
      <w:r>
        <w:t>负责组织协调全面从严治党、党风廉政建设和反腐败宣传教育工作。</w:t>
      </w:r>
    </w:p>
    <w:p>
      <w:pPr>
        <w:pStyle w:val="23"/>
      </w:pPr>
      <w:r>
        <w:rPr>
          <w:rFonts w:hint="eastAsia"/>
        </w:rPr>
        <w:t>（</w:t>
      </w:r>
      <w:r>
        <w:rPr>
          <w:rFonts w:hint="eastAsia"/>
          <w:lang w:eastAsia="zh-CN"/>
        </w:rPr>
        <w:t>七</w:t>
      </w:r>
      <w:r>
        <w:rPr>
          <w:rFonts w:hint="eastAsia"/>
        </w:rPr>
        <w:t>）</w:t>
      </w:r>
      <w:r>
        <w:t>负责综合分析全面从严治党、党风廉政建设和反腐败工作情况，对纪检监察工作重要理论及实践问题进行调查研究制定或者修改全省纪检监察法规制度，参与起草有关法律、法规和规范性文件。</w:t>
      </w:r>
    </w:p>
    <w:p>
      <w:pPr>
        <w:pStyle w:val="23"/>
      </w:pPr>
      <w:r>
        <w:rPr>
          <w:rFonts w:hint="eastAsia"/>
        </w:rPr>
        <w:t>（</w:t>
      </w:r>
      <w:r>
        <w:rPr>
          <w:rFonts w:hint="eastAsia"/>
          <w:lang w:eastAsia="zh-CN"/>
        </w:rPr>
        <w:t>八</w:t>
      </w:r>
      <w:r>
        <w:rPr>
          <w:rFonts w:hint="eastAsia"/>
        </w:rPr>
        <w:t>）</w:t>
      </w:r>
      <w:r>
        <w:t>负责组织协调全省反腐败追逃追赃和防逃工作，督促有关单位做好相关工作。</w:t>
      </w:r>
    </w:p>
    <w:p>
      <w:pPr>
        <w:pStyle w:val="23"/>
      </w:pPr>
      <w:r>
        <w:rPr>
          <w:rFonts w:hint="eastAsia"/>
        </w:rPr>
        <w:t>（</w:t>
      </w:r>
      <w:r>
        <w:rPr>
          <w:rFonts w:hint="eastAsia"/>
          <w:lang w:eastAsia="zh-CN"/>
        </w:rPr>
        <w:t>九</w:t>
      </w:r>
      <w:r>
        <w:rPr>
          <w:rFonts w:hint="eastAsia"/>
        </w:rPr>
        <w:t>）</w:t>
      </w:r>
      <w:r>
        <w:t>根据干部管理权限，负责全省纪检监察系统领导班子建设、干部队伍建设和组织建设的综合规划、政策研究、制度建设和业务指导；会同省委组织部负责省委巡视办的厅级干部提名、考察，报省委任免；根据干部管理权限负责省委巡视办处级及以下干部人事工作。会同有关方面做好省纪委监委派驻机构、市级（含定州、辛集市）纪检监察机关、省管企业和省属本科院校纪检监察机构领导班子建设有关工作；组织和指导全省纪检监察系统干部教育培训工作等。</w:t>
      </w:r>
    </w:p>
    <w:p>
      <w:pPr>
        <w:pStyle w:val="23"/>
      </w:pPr>
      <w:r>
        <w:rPr>
          <w:rFonts w:hint="eastAsia"/>
        </w:rPr>
        <w:t>（</w:t>
      </w:r>
      <w:r>
        <w:rPr>
          <w:rFonts w:hint="eastAsia"/>
          <w:lang w:eastAsia="zh-CN"/>
        </w:rPr>
        <w:t>十</w:t>
      </w:r>
      <w:r>
        <w:rPr>
          <w:rFonts w:hint="eastAsia"/>
        </w:rPr>
        <w:t>）</w:t>
      </w:r>
      <w:r>
        <w:t>完成中央纪委、国家监委、省委交办的其他任务。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中共河北省纪律检查委员会本级</w:t>
            </w:r>
          </w:p>
        </w:tc>
        <w:tc>
          <w:tcPr>
            <w:tcW w:w="1843" w:type="dxa"/>
            <w:vAlign w:val="center"/>
          </w:tcPr>
          <w:p>
            <w:pPr>
              <w:pStyle w:val="19"/>
            </w:pPr>
            <w:r>
              <w:t>行政</w:t>
            </w:r>
          </w:p>
        </w:tc>
        <w:tc>
          <w:tcPr>
            <w:tcW w:w="2126" w:type="dxa"/>
            <w:vAlign w:val="center"/>
          </w:tcPr>
          <w:p>
            <w:pPr>
              <w:pStyle w:val="19"/>
            </w:pPr>
            <w:r>
              <w:t>正厅（地）级</w:t>
            </w:r>
          </w:p>
        </w:tc>
        <w:tc>
          <w:tcPr>
            <w:tcW w:w="3827" w:type="dxa"/>
            <w:vAlign w:val="center"/>
          </w:tcPr>
          <w:p>
            <w:pPr>
              <w:pStyle w:val="1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河北省纪检监察工作保障中心</w:t>
            </w:r>
          </w:p>
        </w:tc>
        <w:tc>
          <w:tcPr>
            <w:tcW w:w="1843" w:type="dxa"/>
            <w:vAlign w:val="center"/>
          </w:tcPr>
          <w:p>
            <w:pPr>
              <w:pStyle w:val="19"/>
            </w:pPr>
            <w:r>
              <w:t>事业</w:t>
            </w:r>
          </w:p>
        </w:tc>
        <w:tc>
          <w:tcPr>
            <w:tcW w:w="2126" w:type="dxa"/>
            <w:vAlign w:val="center"/>
          </w:tcPr>
          <w:p>
            <w:pPr>
              <w:pStyle w:val="19"/>
            </w:pPr>
            <w:r>
              <w:t>正处（县）级</w:t>
            </w:r>
          </w:p>
        </w:tc>
        <w:tc>
          <w:tcPr>
            <w:tcW w:w="3827" w:type="dxa"/>
            <w:vAlign w:val="center"/>
          </w:tcPr>
          <w:p>
            <w:pPr>
              <w:pStyle w:val="1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中共河北省委巡视工作领导小组办公室</w:t>
            </w:r>
          </w:p>
        </w:tc>
        <w:tc>
          <w:tcPr>
            <w:tcW w:w="1843" w:type="dxa"/>
            <w:vAlign w:val="center"/>
          </w:tcPr>
          <w:p>
            <w:pPr>
              <w:pStyle w:val="19"/>
            </w:pPr>
            <w:r>
              <w:t>行政</w:t>
            </w:r>
          </w:p>
        </w:tc>
        <w:tc>
          <w:tcPr>
            <w:tcW w:w="2126" w:type="dxa"/>
            <w:vAlign w:val="center"/>
          </w:tcPr>
          <w:p>
            <w:pPr>
              <w:pStyle w:val="19"/>
            </w:pPr>
            <w:r>
              <w:t>正厅（地）级</w:t>
            </w:r>
          </w:p>
        </w:tc>
        <w:tc>
          <w:tcPr>
            <w:tcW w:w="3827" w:type="dxa"/>
            <w:vAlign w:val="center"/>
          </w:tcPr>
          <w:p>
            <w:pPr>
              <w:pStyle w:val="1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8"/>
            </w:pPr>
            <w:r>
              <w:t>中共河北雄安新区纪律检查工作委员会</w:t>
            </w:r>
          </w:p>
        </w:tc>
        <w:tc>
          <w:tcPr>
            <w:tcW w:w="1843" w:type="dxa"/>
            <w:vAlign w:val="center"/>
          </w:tcPr>
          <w:p>
            <w:pPr>
              <w:pStyle w:val="19"/>
            </w:pPr>
            <w:r>
              <w:t>行政</w:t>
            </w:r>
          </w:p>
        </w:tc>
        <w:tc>
          <w:tcPr>
            <w:tcW w:w="2126" w:type="dxa"/>
            <w:vAlign w:val="center"/>
          </w:tcPr>
          <w:p>
            <w:pPr>
              <w:pStyle w:val="19"/>
            </w:pPr>
            <w:r>
              <w:t>副厅（地）级</w:t>
            </w:r>
          </w:p>
        </w:tc>
        <w:tc>
          <w:tcPr>
            <w:tcW w:w="3827" w:type="dxa"/>
            <w:vAlign w:val="center"/>
          </w:tcPr>
          <w:p>
            <w:pPr>
              <w:pStyle w:val="1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按照预算管理有关规定，目前我省部门预算的编制实行综合预算管理，即全部收入和支出都反映在预算中。中共河北省纪律检查委员会机关及所属事业单位的收支包含在部门预算中。</w:t>
      </w:r>
    </w:p>
    <w:p>
      <w:pPr>
        <w:pStyle w:val="24"/>
      </w:pPr>
      <w:r>
        <w:t>1、收入说明</w:t>
      </w:r>
    </w:p>
    <w:p>
      <w:pPr>
        <w:pStyle w:val="24"/>
      </w:pPr>
      <w:r>
        <w:t>反映本部门当年全部收入。2023年预算收入30686.98万元，其中：一般公共预算收入30551.82万元，基金预算收入0万元，国有资本经营预算收入0万元，财政专户核拨收入0万元，单位资金收入0万元，上年结转结余135.16万元。</w:t>
      </w:r>
    </w:p>
    <w:p>
      <w:pPr>
        <w:pStyle w:val="24"/>
      </w:pPr>
      <w:r>
        <w:t>2、支出说明</w:t>
      </w:r>
    </w:p>
    <w:p>
      <w:pPr>
        <w:pStyle w:val="24"/>
      </w:pPr>
      <w:r>
        <w:t>收支预算总表支出栏、基本支出表、项目支出表按经济分类和支出功能分类科目编制，反映中国共产党河北省纪律检查委员会年度部门预算中支出预算的总体情况。2023年支出预算30686.98万元，其中基本支出19020.60万元，包括人员经费15933.02万元和日常公用经费3087.58万元；项目支出11666.38万元，主要为监督检查、审查调查、巡视巡察、纪检事务管理、预算内基本建设专项经费等。</w:t>
      </w:r>
    </w:p>
    <w:p>
      <w:pPr>
        <w:pStyle w:val="24"/>
      </w:pPr>
      <w:r>
        <w:t>3、比上年增减情况</w:t>
      </w:r>
    </w:p>
    <w:p>
      <w:pPr>
        <w:pStyle w:val="24"/>
      </w:pPr>
      <w:r>
        <w:t>2023年预算收支安排30686.98万元，较2022年预算增加1782.82万元，其中：基本支出增加1040.74万元，主要为增加人员经费支出；项目支出增加742.08万元，主要为增加预算内基本建设信息化经费支出。</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5"/>
      </w:pPr>
      <w:r>
        <w:t>2023年，我部门运行经费共计安排3087.58万元，主要用于日常维修、办公用房水电费、办公用房取暖费、办公用房物业管理费等日常运行支出。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2023年，我部门财政拨款“三公”经费预算安排364.42万元，其中因公出国（境）费30.70万元；公务用车购置及运维费324.36万元（其中：公务用车购置费为19.55万元，公务用车运维费304.81万元)；公务接待费9.36万元。与2022年相比减少18.68万元，主要是</w:t>
      </w:r>
      <w:r>
        <w:rPr>
          <w:rFonts w:hint="eastAsia"/>
          <w:lang w:eastAsia="zh-CN"/>
        </w:rPr>
        <w:t>进一步落实党政机关</w:t>
      </w:r>
      <w:r>
        <w:t>“</w:t>
      </w:r>
      <w:r>
        <w:rPr>
          <w:rFonts w:hint="eastAsia"/>
          <w:lang w:eastAsia="zh-CN"/>
        </w:rPr>
        <w:t>过紧日子</w:t>
      </w:r>
      <w:r>
        <w:t>”</w:t>
      </w:r>
      <w:r>
        <w:rPr>
          <w:rFonts w:hint="eastAsia"/>
          <w:lang w:eastAsia="zh-CN"/>
        </w:rPr>
        <w:t>要求，厉行节约，压减了</w:t>
      </w:r>
      <w:r>
        <w:t>“三公”</w:t>
      </w:r>
      <w:r>
        <w:rPr>
          <w:rFonts w:hint="eastAsia"/>
          <w:lang w:eastAsia="zh-CN"/>
        </w:rPr>
        <w:t>经费支出。其中：</w:t>
      </w:r>
      <w:r>
        <w:t>公务用车购置费减少5.45万元、公务用车运维费减少12.19万元、公务接待费减少1.04万元。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7"/>
      </w:pPr>
      <w:r>
        <w:t>以习近平新时代中国特色社会主义思想为指导，</w:t>
      </w:r>
      <w:r>
        <w:rPr>
          <w:rFonts w:hint="eastAsia"/>
          <w:lang w:eastAsia="zh-CN"/>
        </w:rPr>
        <w:t>以</w:t>
      </w:r>
      <w:r>
        <w:t>落实党的二十大精神</w:t>
      </w:r>
      <w:r>
        <w:rPr>
          <w:rFonts w:hint="eastAsia"/>
          <w:lang w:eastAsia="zh-CN"/>
        </w:rPr>
        <w:t>为主线</w:t>
      </w:r>
      <w:r>
        <w:t>，</w:t>
      </w:r>
      <w:r>
        <w:rPr>
          <w:rFonts w:hint="eastAsia"/>
          <w:lang w:eastAsia="zh-CN"/>
        </w:rPr>
        <w:t>按照党的自我革命战略部署和全面从严治党战略方针，深刻领悟</w:t>
      </w:r>
      <w:r>
        <w:t>“两个确立”</w:t>
      </w:r>
      <w:r>
        <w:rPr>
          <w:rFonts w:hint="eastAsia"/>
          <w:lang w:eastAsia="zh-CN"/>
        </w:rPr>
        <w:t>的决定性意义</w:t>
      </w:r>
      <w:r>
        <w:t>，切实增强“四个意识”、坚定“四个自信”、做到“两个维护”，</w:t>
      </w:r>
      <w:r>
        <w:rPr>
          <w:rFonts w:hint="eastAsia"/>
          <w:lang w:eastAsia="zh-CN"/>
        </w:rPr>
        <w:t>认真落实健全全面从严治党体系任务要求，深入开展党风廉政建设和反腐败斗争，深入推进新时代新征程纪检监察工作</w:t>
      </w:r>
      <w:r>
        <w:t>高质量发展。</w:t>
      </w:r>
    </w:p>
    <w:p>
      <w:pPr>
        <w:spacing w:line="500" w:lineRule="exact"/>
        <w:ind w:firstLine="560"/>
      </w:pPr>
      <w:r>
        <w:rPr>
          <w:rFonts w:eastAsia="方正仿宋_GBK"/>
          <w:color w:val="000000"/>
          <w:sz w:val="28"/>
        </w:rPr>
        <w:t>（二）分项绩效目标</w:t>
      </w:r>
    </w:p>
    <w:p>
      <w:pPr>
        <w:pStyle w:val="28"/>
        <w:rPr>
          <w:lang w:eastAsia="zh-CN"/>
        </w:rPr>
      </w:pPr>
      <w:r>
        <w:rPr>
          <w:rFonts w:hint="eastAsia"/>
          <w:lang w:eastAsia="zh-CN"/>
        </w:rPr>
        <w:t>1、围绕落实党的二十大战略部署强化政治监督</w:t>
      </w:r>
    </w:p>
    <w:p>
      <w:pPr>
        <w:pStyle w:val="28"/>
      </w:pPr>
      <w:r>
        <w:t>绩效目标：</w:t>
      </w:r>
      <w:r>
        <w:rPr>
          <w:rFonts w:hint="eastAsia"/>
          <w:lang w:eastAsia="zh-CN"/>
        </w:rPr>
        <w:t>把保障党的二十大战略部署落实作为首要任务，推进</w:t>
      </w:r>
      <w:r>
        <w:t>政治监督</w:t>
      </w:r>
      <w:r>
        <w:rPr>
          <w:rFonts w:hint="eastAsia"/>
          <w:lang w:eastAsia="zh-CN"/>
        </w:rPr>
        <w:t>具体化、精准化、常态化。围绕落实习近平总书记重要指示批示、党的二十大重大决策部署和践行习近平新时代中国特色社会主义思想开展监督，严明政治纪律和政治规矩，及时发现、着力解决“七个有之”问题，推动各级党组织加强党的建设，确保在政治立场、政治方向、政治原则、政治道路上同以习近平同志为核心的党中央保持高度一致</w:t>
      </w:r>
      <w:r>
        <w:t>。</w:t>
      </w:r>
    </w:p>
    <w:p>
      <w:pPr>
        <w:pStyle w:val="28"/>
      </w:pPr>
      <w:r>
        <w:t>绩效指标：</w:t>
      </w:r>
      <w:r>
        <w:rPr>
          <w:rFonts w:hint="eastAsia"/>
          <w:lang w:eastAsia="zh-CN"/>
        </w:rPr>
        <w:t>监督检查开支费用</w:t>
      </w:r>
      <w:r>
        <w:rPr>
          <w:rFonts w:hint="eastAsia"/>
        </w:rPr>
        <w:t>符合相关政策规定，人均差旅补助标准不高于180元/天</w:t>
      </w:r>
      <w:r>
        <w:rPr>
          <w:rFonts w:hint="eastAsia"/>
          <w:lang w:eastAsia="zh-CN"/>
        </w:rPr>
        <w:t>；</w:t>
      </w:r>
      <w:r>
        <w:t>全年召开省纪委全体会议不少于1次，参会人数不少于200人；会议费人均综合定额标准符合相关政策规定；12388信访举报电话话务员不少于6人。</w:t>
      </w:r>
    </w:p>
    <w:p>
      <w:pPr>
        <w:pStyle w:val="28"/>
        <w:rPr>
          <w:rFonts w:hint="eastAsia"/>
          <w:lang w:eastAsia="zh-CN"/>
        </w:rPr>
      </w:pPr>
      <w:r>
        <w:rPr>
          <w:rFonts w:hint="eastAsia"/>
          <w:lang w:eastAsia="zh-CN"/>
        </w:rPr>
        <w:t>2、深化落实中央八项规定精神，持续纠治“四风”</w:t>
      </w:r>
    </w:p>
    <w:p>
      <w:pPr>
        <w:pStyle w:val="28"/>
        <w:rPr>
          <w:rFonts w:hint="eastAsia"/>
          <w:lang w:eastAsia="zh-CN"/>
        </w:rPr>
      </w:pPr>
      <w:r>
        <w:rPr>
          <w:rFonts w:hint="eastAsia"/>
          <w:lang w:eastAsia="zh-CN"/>
        </w:rPr>
        <w:t>绩效目标：把纠治形式主义、官僚主义摆在更加突出位置，作为作风建设的重点任务。抓住普遍发生、反复出现的问题，持续纠治享乐主义、奢靡之风，推进作风建设常态化、长效化。</w:t>
      </w:r>
    </w:p>
    <w:p>
      <w:pPr>
        <w:pStyle w:val="28"/>
        <w:rPr>
          <w:rFonts w:hint="eastAsia"/>
          <w:lang w:eastAsia="zh-CN"/>
        </w:rPr>
      </w:pPr>
      <w:r>
        <w:rPr>
          <w:rFonts w:hint="eastAsia"/>
          <w:lang w:eastAsia="zh-CN"/>
        </w:rPr>
        <w:t>绩效指标：专项整治活动开支费用符合相关政策规定，人均差旅补助标准不高于180元/天。</w:t>
      </w:r>
    </w:p>
    <w:p>
      <w:pPr>
        <w:pStyle w:val="28"/>
      </w:pPr>
      <w:r>
        <w:rPr>
          <w:rFonts w:hint="eastAsia"/>
          <w:lang w:val="en-US" w:eastAsia="zh-CN"/>
        </w:rPr>
        <w:t>3、</w:t>
      </w:r>
      <w:r>
        <w:rPr>
          <w:rFonts w:hint="eastAsia"/>
          <w:lang w:eastAsia="zh-CN"/>
        </w:rPr>
        <w:t>坚持不敢腐、不能腐、不想腐一体推进</w:t>
      </w:r>
    </w:p>
    <w:p>
      <w:pPr>
        <w:pStyle w:val="28"/>
        <w:rPr>
          <w:rFonts w:hint="eastAsia"/>
          <w:lang w:eastAsia="zh-CN"/>
        </w:rPr>
      </w:pPr>
      <w:r>
        <w:t>绩效目标：</w:t>
      </w:r>
      <w:r>
        <w:rPr>
          <w:rFonts w:hint="eastAsia"/>
          <w:lang w:eastAsia="zh-CN"/>
        </w:rPr>
        <w:t>要在不敢腐上持续加压，在不能腐上深化拓展，在不想腐上巩固提升，把不敢腐、不能腐、不想腐有效贯通起来，严查重点问题，突出重点领域，紧盯重点对象，坚决整治各种损害群众利益的腐败问题。坚持行贿受贿一起查，加大对行贿行为的惩治力度。</w:t>
      </w:r>
    </w:p>
    <w:p>
      <w:pPr>
        <w:pStyle w:val="28"/>
      </w:pPr>
      <w:r>
        <w:t>绩效指标：审查调查</w:t>
      </w:r>
      <w:r>
        <w:rPr>
          <w:rFonts w:hint="eastAsia"/>
          <w:lang w:eastAsia="zh-CN"/>
        </w:rPr>
        <w:t>开支费用</w:t>
      </w:r>
      <w:r>
        <w:t>符合相关政策规定，人均差旅补助标准不高于180元/天；拍摄制作警示教育专题片数量不少于2部。</w:t>
      </w:r>
    </w:p>
    <w:p>
      <w:pPr>
        <w:pStyle w:val="28"/>
      </w:pPr>
      <w:r>
        <w:rPr>
          <w:rFonts w:hint="eastAsia"/>
          <w:lang w:val="en-US" w:eastAsia="zh-CN"/>
        </w:rPr>
        <w:t>4</w:t>
      </w:r>
      <w:r>
        <w:rPr>
          <w:rFonts w:hint="eastAsia"/>
          <w:lang w:eastAsia="zh-CN"/>
        </w:rPr>
        <w:t>、</w:t>
      </w:r>
      <w:r>
        <w:rPr>
          <w:rFonts w:hint="eastAsia"/>
        </w:rPr>
        <w:t>发挥巡视党内监督利剑和密切联系群众纽带作用</w:t>
      </w:r>
    </w:p>
    <w:p>
      <w:pPr>
        <w:pStyle w:val="28"/>
        <w:rPr>
          <w:rFonts w:hint="eastAsia"/>
          <w:lang w:eastAsia="zh-CN"/>
        </w:rPr>
      </w:pPr>
      <w:r>
        <w:rPr>
          <w:rFonts w:hint="eastAsia"/>
        </w:rPr>
        <w:t>绩效目标：深化政治巡视职能定位，加强巡视监督与纪律监督、监察监督、派驻监督、巡视监督统筹衔接，推动审计、财政、统计部门专业力量深度参与巡视巡察。督促落实巡视整改，强化日常监督和专项督促检查，深化巡视整改和成果运用，做好巡视整改“后半篇”文章</w:t>
      </w:r>
      <w:r>
        <w:rPr>
          <w:rFonts w:hint="eastAsia"/>
          <w:lang w:eastAsia="zh-CN"/>
        </w:rPr>
        <w:t>。</w:t>
      </w:r>
    </w:p>
    <w:p>
      <w:pPr>
        <w:pStyle w:val="28"/>
      </w:pPr>
      <w:r>
        <w:t>绩效指标：每年组织开展2轮巡视；开展巡视巡察业务培训不少于2次，培训人数不少于500人次。</w:t>
      </w:r>
    </w:p>
    <w:p>
      <w:pPr>
        <w:pStyle w:val="28"/>
      </w:pPr>
      <w:r>
        <w:rPr>
          <w:rFonts w:hint="eastAsia"/>
          <w:lang w:eastAsia="zh-CN"/>
        </w:rPr>
        <w:t>5、从严从实加强自身建设</w:t>
      </w:r>
    </w:p>
    <w:p>
      <w:pPr>
        <w:pStyle w:val="28"/>
      </w:pPr>
      <w:r>
        <w:t>绩效目标：</w:t>
      </w:r>
      <w:r>
        <w:rPr>
          <w:rFonts w:hint="eastAsia"/>
          <w:lang w:eastAsia="zh-CN"/>
        </w:rPr>
        <w:t>扎实开展党中央部署的主题教育，深入学习习近平新时代中国特色社会主义思想和党的二十大精神。完善内控机制，从严加强对纪检监察干部的管理。持续开展分层级、分领域教育培训，切实加强政治教育、党性教育，严明法纪，以铁的纪律</w:t>
      </w:r>
      <w:r>
        <w:t>打造</w:t>
      </w:r>
      <w:r>
        <w:rPr>
          <w:rFonts w:hint="eastAsia"/>
          <w:lang w:eastAsia="zh-CN"/>
        </w:rPr>
        <w:t>忠诚干净担当</w:t>
      </w:r>
      <w:r>
        <w:t>的铁军。</w:t>
      </w:r>
    </w:p>
    <w:p>
      <w:pPr>
        <w:pStyle w:val="28"/>
      </w:pPr>
      <w:r>
        <w:t>绩效指标：全年组织参加各类培训不少于18次；按计划培训人数不低于15000人次；培训合格率不低于95%；受培训人员满意度不低于95%。</w:t>
      </w:r>
    </w:p>
    <w:p>
      <w:pPr>
        <w:pStyle w:val="28"/>
      </w:pPr>
      <w:r>
        <w:rPr>
          <w:rFonts w:hint="eastAsia"/>
          <w:lang w:val="en-US" w:eastAsia="zh-CN"/>
        </w:rPr>
        <w:t>6</w:t>
      </w:r>
      <w:r>
        <w:rPr>
          <w:rFonts w:hint="eastAsia"/>
          <w:lang w:eastAsia="zh-CN"/>
        </w:rPr>
        <w:t>、</w:t>
      </w:r>
      <w:r>
        <w:t>全力服务保障办案工作</w:t>
      </w:r>
    </w:p>
    <w:p>
      <w:pPr>
        <w:pStyle w:val="28"/>
      </w:pPr>
      <w:r>
        <w:t>绩效目标：牢固树立“过紧日子”思想，进一步加强留置场所管理，大力压减运行成本，厉行节约，提质增效，提升物业管理服务质量，提高资源利用效率，全力服务保障留置办案场所审查调查、医疗服务、安全保卫和后勤管理等任务需要。</w:t>
      </w:r>
    </w:p>
    <w:p>
      <w:pPr>
        <w:pStyle w:val="28"/>
      </w:pPr>
      <w:r>
        <w:t>绩效指标：物业服务水电暖等设备全天候正常运转率达100%；设备保障及时率达100%；网络故障反应时间不超过1小时；办案人员满意度不低于95%。</w:t>
      </w:r>
    </w:p>
    <w:p>
      <w:pPr>
        <w:spacing w:line="500" w:lineRule="exact"/>
        <w:ind w:firstLine="560"/>
      </w:pPr>
      <w:r>
        <w:rPr>
          <w:rFonts w:eastAsia="方正仿宋_GBK"/>
          <w:color w:val="000000"/>
          <w:sz w:val="28"/>
        </w:rPr>
        <w:t>（三）工作保障措施</w:t>
      </w:r>
    </w:p>
    <w:p>
      <w:pPr>
        <w:pStyle w:val="29"/>
      </w:pPr>
      <w:r>
        <w:t>深入贯彻落实《中共河北省委河北省人民政府关于全面实施预算绩效管理的实施意见》（冀发〔2018〕54号）、《河北省省级部门预算绩效管理办法》（冀财绩〔2019〕4号）、《河北省省级预算绩效重点评价管理办法》（冀财绩〔2019〕11号）、《河北省省级部门预算绩效目标设定规范》（冀财绩〔2019〕6号）等精神，切实采取有效措施，加强预算绩效管理。</w:t>
      </w:r>
    </w:p>
    <w:p>
      <w:pPr>
        <w:pStyle w:val="29"/>
      </w:pPr>
      <w:r>
        <w:rPr>
          <w:rFonts w:hint="eastAsia"/>
          <w:lang w:eastAsia="zh-CN"/>
        </w:rPr>
        <w:t>1、</w:t>
      </w:r>
      <w:r>
        <w:t>加强绩效运行监控。层层分解落实预算项目资金和绩效目标，牢固树立绩效理念，把部门整体绩效与项目绩效相结合，把绩效目标与资金时效相结合，把动态管理与预算调整相结合，确保做到无预算不开支、有预算不超支、无绩效不支出。做好绩效运行日常监控，对经费支出情况按月统计，按季通报，对支出进度较低的及时督导调度，尽快发挥财政资金效益，尽早实现绩效目标。</w:t>
      </w:r>
    </w:p>
    <w:p>
      <w:pPr>
        <w:pStyle w:val="29"/>
      </w:pPr>
      <w:r>
        <w:rPr>
          <w:rFonts w:hint="eastAsia"/>
          <w:lang w:eastAsia="zh-CN"/>
        </w:rPr>
        <w:t>2、</w:t>
      </w:r>
      <w:r>
        <w:t>加强绩效结果运用。强化绩效导向，把日常绩效运行情况和绩效评价结果作为预算编制的重要依据，与预算安排挂钩，对一般性支出和整体绩效较差、支出进度慢的项目经费预算进行压减，对整体绩效好、支出进度快的合理增加预算安排，努力提高预算质量，提升绩效管理工作水平。</w:t>
      </w:r>
    </w:p>
    <w:p>
      <w:pPr>
        <w:pStyle w:val="29"/>
      </w:pPr>
      <w:r>
        <w:rPr>
          <w:rFonts w:hint="eastAsia"/>
          <w:lang w:eastAsia="zh-CN"/>
        </w:rPr>
        <w:t>3、</w:t>
      </w:r>
      <w:r>
        <w:t>加强内部控制管理。强化绩效运行分析，动态掌握项目资金支出进度和绩效目标完成情况，发现问题及时纠正解决，确保绩效目标如期保质完成。严格审核、监督重大支出决策程序，审核政府采购、资产处置等重要经济业务事项的决策和执行是否符合有关规定，配合做好审计、财政监督等外部监督工作，确保财政资金安全，提高资金使用效益。</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lang w:eastAsia="zh-CN"/>
        </w:rPr>
      </w:pPr>
      <w:r>
        <w:rPr>
          <w:rFonts w:hint="eastAsia" w:eastAsia="方正仿宋_GBK"/>
          <w:sz w:val="28"/>
        </w:rPr>
        <w:t>无</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eastAsia="方正仿宋_GBK"/>
          <w:sz w:val="28"/>
        </w:rPr>
      </w:pPr>
      <w:r>
        <w:rPr>
          <w:rFonts w:hint="eastAsia" w:eastAsia="方正仿宋_GBK"/>
          <w:sz w:val="28"/>
        </w:rPr>
        <w:t>按照预算公开有关要求，绩效文本中的涉密绩效目标不公开。</w:t>
      </w:r>
    </w:p>
    <w:p>
      <w:pPr>
        <w:spacing w:before="10" w:after="10"/>
        <w:ind w:firstLine="640"/>
        <w:outlineLvl w:val="2"/>
        <w:rPr>
          <w:rFonts w:ascii="黑体" w:hAnsi="黑体" w:eastAsia="黑体" w:cs="黑体"/>
          <w:color w:val="000000"/>
          <w:sz w:val="32"/>
          <w:lang w:eastAsia="zh-CN"/>
        </w:rPr>
      </w:pPr>
      <w:bookmarkStart w:id="14" w:name="_Toc_3_3_0000000015"/>
    </w:p>
    <w:p>
      <w:pPr>
        <w:spacing w:before="10" w:after="10"/>
        <w:ind w:firstLine="640"/>
        <w:outlineLvl w:val="2"/>
      </w:pPr>
      <w:r>
        <w:rPr>
          <w:rFonts w:ascii="黑体" w:hAnsi="黑体" w:eastAsia="黑体" w:cs="黑体"/>
          <w:color w:val="000000"/>
          <w:sz w:val="32"/>
        </w:rPr>
        <w:t>六、政府采购预算情况</w:t>
      </w:r>
      <w:bookmarkEnd w:id="14"/>
    </w:p>
    <w:p>
      <w:pPr>
        <w:spacing w:line="500" w:lineRule="exact"/>
        <w:ind w:firstLine="560"/>
        <w:rPr>
          <w:rFonts w:ascii="方正小标宋_GBK" w:hAnsi="方正小标宋_GBK" w:eastAsia="方正小标宋_GBK" w:cs="方正小标宋_GBK"/>
          <w:color w:val="000000"/>
          <w:sz w:val="36"/>
          <w:lang w:eastAsia="zh-CN"/>
        </w:rPr>
      </w:pPr>
      <w:r>
        <w:rPr>
          <w:rFonts w:eastAsia="方正仿宋_GBK"/>
          <w:color w:val="000000"/>
          <w:sz w:val="28"/>
        </w:rPr>
        <w:t>2023年，中共河北省纪律检查委员会安排</w:t>
      </w:r>
      <w:r>
        <w:rPr>
          <w:rFonts w:hint="eastAsia" w:eastAsia="方正仿宋_GBK"/>
          <w:color w:val="000000"/>
          <w:sz w:val="28"/>
          <w:lang w:eastAsia="zh-CN"/>
        </w:rPr>
        <w:t>非涉密</w:t>
      </w:r>
      <w:r>
        <w:rPr>
          <w:rFonts w:eastAsia="方正仿宋_GBK"/>
          <w:color w:val="000000"/>
          <w:sz w:val="28"/>
        </w:rPr>
        <w:t>政府采购预算482.00万元。具体内容见下表。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1"/>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222中共河北省纪律检查委员会</w:t>
            </w:r>
          </w:p>
        </w:tc>
        <w:tc>
          <w:tcPr>
            <w:tcW w:w="867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rPr>
                <w:lang w:eastAsia="zh-CN"/>
              </w:rPr>
            </w:pPr>
            <w:r>
              <w:t>4</w:t>
            </w:r>
            <w:r>
              <w:rPr>
                <w:rFonts w:hint="eastAsia"/>
                <w:lang w:eastAsia="zh-CN"/>
              </w:rPr>
              <w:t>82</w:t>
            </w:r>
            <w:r>
              <w:t>.</w:t>
            </w:r>
            <w:r>
              <w:rPr>
                <w:rFonts w:hint="eastAsia"/>
                <w:lang w:eastAsia="zh-CN"/>
              </w:rPr>
              <w:t>00</w:t>
            </w:r>
          </w:p>
        </w:tc>
        <w:tc>
          <w:tcPr>
            <w:tcW w:w="964" w:type="dxa"/>
            <w:vAlign w:val="center"/>
          </w:tcPr>
          <w:p>
            <w:pPr>
              <w:pStyle w:val="21"/>
              <w:rPr>
                <w:lang w:eastAsia="zh-CN"/>
              </w:rPr>
            </w:pPr>
            <w:r>
              <w:t>4</w:t>
            </w:r>
            <w:r>
              <w:rPr>
                <w:rFonts w:hint="eastAsia"/>
                <w:lang w:eastAsia="zh-CN"/>
              </w:rPr>
              <w:t>82</w:t>
            </w:r>
            <w:r>
              <w:t>.</w:t>
            </w:r>
            <w:r>
              <w:rPr>
                <w:rFonts w:hint="eastAsia"/>
                <w:lang w:eastAsia="zh-CN"/>
              </w:rPr>
              <w:t>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rPr>
                <w:lang w:eastAsia="zh-CN"/>
              </w:rPr>
            </w:pPr>
            <w:r>
              <w:t>4</w:t>
            </w:r>
            <w:r>
              <w:rPr>
                <w:rFonts w:hint="eastAsia"/>
                <w:lang w:eastAsia="zh-CN"/>
              </w:rPr>
              <w:t>82</w:t>
            </w:r>
            <w:r>
              <w:t>.</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中共河北省纪律检查委员会本级小计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rPr>
                <w:lang w:eastAsia="zh-CN"/>
              </w:rPr>
            </w:pPr>
            <w:r>
              <w:t>4</w:t>
            </w:r>
            <w:r>
              <w:rPr>
                <w:rFonts w:hint="eastAsia"/>
                <w:lang w:eastAsia="zh-CN"/>
              </w:rPr>
              <w:t>24</w:t>
            </w:r>
            <w:r>
              <w:t>.</w:t>
            </w:r>
            <w:r>
              <w:rPr>
                <w:rFonts w:hint="eastAsia"/>
                <w:lang w:eastAsia="zh-CN"/>
              </w:rPr>
              <w:t>00</w:t>
            </w:r>
          </w:p>
        </w:tc>
        <w:tc>
          <w:tcPr>
            <w:tcW w:w="964" w:type="dxa"/>
            <w:vAlign w:val="center"/>
          </w:tcPr>
          <w:p>
            <w:pPr>
              <w:pStyle w:val="21"/>
              <w:rPr>
                <w:lang w:eastAsia="zh-CN"/>
              </w:rPr>
            </w:pPr>
            <w:r>
              <w:t>4</w:t>
            </w:r>
            <w:r>
              <w:rPr>
                <w:rFonts w:hint="eastAsia"/>
                <w:lang w:eastAsia="zh-CN"/>
              </w:rPr>
              <w:t>24</w:t>
            </w:r>
            <w:r>
              <w:t>.</w:t>
            </w:r>
            <w:r>
              <w:rPr>
                <w:rFonts w:hint="eastAsia"/>
                <w:lang w:eastAsia="zh-CN"/>
              </w:rPr>
              <w:t>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rPr>
                <w:lang w:eastAsia="zh-CN"/>
              </w:rPr>
            </w:pPr>
            <w:r>
              <w:t>4</w:t>
            </w:r>
            <w:r>
              <w:rPr>
                <w:rFonts w:hint="eastAsia"/>
                <w:lang w:eastAsia="zh-CN"/>
              </w:rPr>
              <w:t>24</w:t>
            </w:r>
            <w:r>
              <w:t>.</w:t>
            </w:r>
            <w:r>
              <w:rPr>
                <w:rFonts w:hint="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其他办公用品</w:t>
            </w:r>
          </w:p>
        </w:tc>
        <w:tc>
          <w:tcPr>
            <w:tcW w:w="1134" w:type="dxa"/>
            <w:vAlign w:val="center"/>
          </w:tcPr>
          <w:p>
            <w:pPr>
              <w:pStyle w:val="18"/>
            </w:pPr>
            <w:r>
              <w:t>A05049900</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96.19</w:t>
            </w:r>
          </w:p>
        </w:tc>
        <w:tc>
          <w:tcPr>
            <w:tcW w:w="964" w:type="dxa"/>
            <w:vAlign w:val="center"/>
          </w:tcPr>
          <w:p>
            <w:pPr>
              <w:pStyle w:val="17"/>
            </w:pPr>
            <w:r>
              <w:t>96.19</w:t>
            </w:r>
          </w:p>
        </w:tc>
        <w:tc>
          <w:tcPr>
            <w:tcW w:w="964" w:type="dxa"/>
            <w:vAlign w:val="center"/>
          </w:tcPr>
          <w:p>
            <w:pPr>
              <w:pStyle w:val="17"/>
            </w:pPr>
            <w:r>
              <w:t>96.19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火力发电电能</w:t>
            </w:r>
          </w:p>
        </w:tc>
        <w:tc>
          <w:tcPr>
            <w:tcW w:w="1134" w:type="dxa"/>
            <w:vAlign w:val="center"/>
          </w:tcPr>
          <w:p>
            <w:pPr>
              <w:pStyle w:val="18"/>
            </w:pPr>
            <w:r>
              <w:t>A07050102</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85.00</w:t>
            </w:r>
          </w:p>
        </w:tc>
        <w:tc>
          <w:tcPr>
            <w:tcW w:w="964" w:type="dxa"/>
            <w:vAlign w:val="center"/>
          </w:tcPr>
          <w:p>
            <w:pPr>
              <w:pStyle w:val="17"/>
            </w:pPr>
            <w:r>
              <w:t>85.00</w:t>
            </w:r>
          </w:p>
        </w:tc>
        <w:tc>
          <w:tcPr>
            <w:tcW w:w="964" w:type="dxa"/>
            <w:vAlign w:val="center"/>
          </w:tcPr>
          <w:p>
            <w:pPr>
              <w:pStyle w:val="17"/>
            </w:pPr>
            <w:r>
              <w:t>85.00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汽油</w:t>
            </w:r>
          </w:p>
        </w:tc>
        <w:tc>
          <w:tcPr>
            <w:tcW w:w="1134" w:type="dxa"/>
            <w:vAlign w:val="center"/>
          </w:tcPr>
          <w:p>
            <w:pPr>
              <w:pStyle w:val="18"/>
            </w:pPr>
            <w:r>
              <w:t>A07070101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119.37</w:t>
            </w:r>
          </w:p>
        </w:tc>
        <w:tc>
          <w:tcPr>
            <w:tcW w:w="964" w:type="dxa"/>
            <w:vAlign w:val="center"/>
          </w:tcPr>
          <w:p>
            <w:pPr>
              <w:pStyle w:val="17"/>
            </w:pPr>
            <w:r>
              <w:t>119.37</w:t>
            </w:r>
          </w:p>
        </w:tc>
        <w:tc>
          <w:tcPr>
            <w:tcW w:w="964" w:type="dxa"/>
            <w:vAlign w:val="center"/>
          </w:tcPr>
          <w:p>
            <w:pPr>
              <w:pStyle w:val="17"/>
            </w:pPr>
            <w:r>
              <w:t>119.37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汽油</w:t>
            </w:r>
          </w:p>
        </w:tc>
        <w:tc>
          <w:tcPr>
            <w:tcW w:w="1134" w:type="dxa"/>
            <w:vAlign w:val="center"/>
          </w:tcPr>
          <w:p>
            <w:pPr>
              <w:pStyle w:val="18"/>
            </w:pPr>
            <w:r>
              <w:t>A07070101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34.44</w:t>
            </w:r>
          </w:p>
        </w:tc>
        <w:tc>
          <w:tcPr>
            <w:tcW w:w="964" w:type="dxa"/>
            <w:vAlign w:val="center"/>
          </w:tcPr>
          <w:p>
            <w:pPr>
              <w:pStyle w:val="17"/>
            </w:pPr>
            <w:r>
              <w:t>34.44</w:t>
            </w:r>
          </w:p>
        </w:tc>
        <w:tc>
          <w:tcPr>
            <w:tcW w:w="964" w:type="dxa"/>
            <w:vAlign w:val="center"/>
          </w:tcPr>
          <w:p>
            <w:pPr>
              <w:pStyle w:val="17"/>
            </w:pPr>
            <w:r>
              <w:t>34.44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其他保险服务</w:t>
            </w:r>
          </w:p>
        </w:tc>
        <w:tc>
          <w:tcPr>
            <w:tcW w:w="1134" w:type="dxa"/>
            <w:vAlign w:val="center"/>
          </w:tcPr>
          <w:p>
            <w:pPr>
              <w:pStyle w:val="18"/>
            </w:pPr>
            <w:r>
              <w:t>C18049900</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7.15</w:t>
            </w:r>
          </w:p>
        </w:tc>
        <w:tc>
          <w:tcPr>
            <w:tcW w:w="964" w:type="dxa"/>
            <w:vAlign w:val="center"/>
          </w:tcPr>
          <w:p>
            <w:pPr>
              <w:pStyle w:val="17"/>
            </w:pPr>
            <w:r>
              <w:t>7.15</w:t>
            </w:r>
          </w:p>
        </w:tc>
        <w:tc>
          <w:tcPr>
            <w:tcW w:w="964" w:type="dxa"/>
            <w:vAlign w:val="center"/>
          </w:tcPr>
          <w:p>
            <w:pPr>
              <w:pStyle w:val="17"/>
            </w:pPr>
            <w:r>
              <w:t>7.15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车辆维修和保养服务</w:t>
            </w:r>
          </w:p>
        </w:tc>
        <w:tc>
          <w:tcPr>
            <w:tcW w:w="1134" w:type="dxa"/>
            <w:vAlign w:val="center"/>
          </w:tcPr>
          <w:p>
            <w:pPr>
              <w:pStyle w:val="18"/>
            </w:pPr>
            <w:r>
              <w:t>C23120301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11.38</w:t>
            </w:r>
          </w:p>
        </w:tc>
        <w:tc>
          <w:tcPr>
            <w:tcW w:w="964" w:type="dxa"/>
            <w:vAlign w:val="center"/>
          </w:tcPr>
          <w:p>
            <w:pPr>
              <w:pStyle w:val="17"/>
            </w:pPr>
            <w:r>
              <w:t>11.38</w:t>
            </w:r>
          </w:p>
        </w:tc>
        <w:tc>
          <w:tcPr>
            <w:tcW w:w="964" w:type="dxa"/>
            <w:vAlign w:val="center"/>
          </w:tcPr>
          <w:p>
            <w:pPr>
              <w:pStyle w:val="17"/>
            </w:pPr>
            <w:r>
              <w:t>11.38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2590.56</w:t>
            </w:r>
          </w:p>
        </w:tc>
        <w:tc>
          <w:tcPr>
            <w:tcW w:w="1134" w:type="dxa"/>
            <w:vAlign w:val="center"/>
          </w:tcPr>
          <w:p>
            <w:pPr>
              <w:pStyle w:val="18"/>
            </w:pPr>
            <w:r>
              <w:t>车辆维修和保养服务</w:t>
            </w:r>
          </w:p>
        </w:tc>
        <w:tc>
          <w:tcPr>
            <w:tcW w:w="1134" w:type="dxa"/>
            <w:vAlign w:val="center"/>
          </w:tcPr>
          <w:p>
            <w:pPr>
              <w:pStyle w:val="18"/>
            </w:pPr>
            <w:r>
              <w:t>C23120301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70.47</w:t>
            </w:r>
          </w:p>
        </w:tc>
        <w:tc>
          <w:tcPr>
            <w:tcW w:w="964" w:type="dxa"/>
            <w:vAlign w:val="center"/>
          </w:tcPr>
          <w:p>
            <w:pPr>
              <w:pStyle w:val="17"/>
            </w:pPr>
            <w:r>
              <w:t>70.47</w:t>
            </w:r>
          </w:p>
        </w:tc>
        <w:tc>
          <w:tcPr>
            <w:tcW w:w="964" w:type="dxa"/>
            <w:vAlign w:val="center"/>
          </w:tcPr>
          <w:p>
            <w:pPr>
              <w:pStyle w:val="17"/>
            </w:pPr>
            <w:r>
              <w:t>70.47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河北省纪检监察工作保障中心小计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rPr>
                <w:rFonts w:hint="eastAsia"/>
                <w:lang w:eastAsia="zh-CN"/>
              </w:rPr>
              <w:t>1</w:t>
            </w:r>
            <w:r>
              <w:t>.00</w:t>
            </w:r>
          </w:p>
        </w:tc>
        <w:tc>
          <w:tcPr>
            <w:tcW w:w="964" w:type="dxa"/>
            <w:vAlign w:val="center"/>
          </w:tcPr>
          <w:p>
            <w:pPr>
              <w:pStyle w:val="21"/>
            </w:pPr>
            <w:r>
              <w:rPr>
                <w:rFonts w:hint="eastAsia"/>
                <w:lang w:eastAsia="zh-CN"/>
              </w:rPr>
              <w:t>1</w:t>
            </w:r>
            <w:r>
              <w:t>.00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rPr>
                <w:rFonts w:hint="eastAsia"/>
                <w:lang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24.18</w:t>
            </w:r>
          </w:p>
        </w:tc>
        <w:tc>
          <w:tcPr>
            <w:tcW w:w="1134" w:type="dxa"/>
            <w:vAlign w:val="center"/>
          </w:tcPr>
          <w:p>
            <w:pPr>
              <w:pStyle w:val="18"/>
            </w:pPr>
            <w:r>
              <w:t>其他印刷服务</w:t>
            </w:r>
          </w:p>
        </w:tc>
        <w:tc>
          <w:tcPr>
            <w:tcW w:w="1134" w:type="dxa"/>
            <w:vAlign w:val="center"/>
          </w:tcPr>
          <w:p>
            <w:pPr>
              <w:pStyle w:val="18"/>
            </w:pPr>
            <w:r>
              <w:t>C23090199</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1.00</w:t>
            </w:r>
          </w:p>
        </w:tc>
        <w:tc>
          <w:tcPr>
            <w:tcW w:w="964" w:type="dxa"/>
            <w:vAlign w:val="center"/>
          </w:tcPr>
          <w:p>
            <w:pPr>
              <w:pStyle w:val="17"/>
            </w:pPr>
            <w:r>
              <w:t>1.00</w:t>
            </w:r>
          </w:p>
        </w:tc>
        <w:tc>
          <w:tcPr>
            <w:tcW w:w="964" w:type="dxa"/>
            <w:vAlign w:val="center"/>
          </w:tcPr>
          <w:p>
            <w:pPr>
              <w:pStyle w:val="17"/>
            </w:pPr>
            <w:r>
              <w:t>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0"/>
            </w:pPr>
            <w:r>
              <w:t>中共河北省委巡视工作领导小组办公室小计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rPr>
                <w:rFonts w:hint="eastAsia"/>
                <w:lang w:eastAsia="zh-CN"/>
              </w:rPr>
              <w:t>5</w:t>
            </w:r>
            <w:r>
              <w:t>7.</w:t>
            </w:r>
            <w:r>
              <w:rPr>
                <w:rFonts w:hint="eastAsia"/>
                <w:lang w:eastAsia="zh-CN"/>
              </w:rPr>
              <w:t>0</w:t>
            </w:r>
            <w:r>
              <w:t>0</w:t>
            </w:r>
          </w:p>
        </w:tc>
        <w:tc>
          <w:tcPr>
            <w:tcW w:w="964" w:type="dxa"/>
            <w:vAlign w:val="center"/>
          </w:tcPr>
          <w:p>
            <w:pPr>
              <w:pStyle w:val="21"/>
            </w:pPr>
            <w:r>
              <w:rPr>
                <w:rFonts w:hint="eastAsia"/>
                <w:lang w:eastAsia="zh-CN"/>
              </w:rPr>
              <w:t>5</w:t>
            </w:r>
            <w:r>
              <w:t>7.</w:t>
            </w:r>
            <w:r>
              <w:rPr>
                <w:rFonts w:hint="eastAsia"/>
                <w:lang w:eastAsia="zh-CN"/>
              </w:rPr>
              <w:t>0</w:t>
            </w:r>
            <w:r>
              <w:t>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rPr>
                <w:rFonts w:hint="eastAsia"/>
                <w:lang w:eastAsia="zh-CN"/>
              </w:rPr>
              <w:t>5</w:t>
            </w:r>
            <w:r>
              <w:t>7.</w:t>
            </w:r>
            <w:r>
              <w:rPr>
                <w:rFonts w:hint="eastAsia"/>
                <w:lang w:eastAsia="zh-CN"/>
              </w:rPr>
              <w:t>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407.19</w:t>
            </w:r>
          </w:p>
        </w:tc>
        <w:tc>
          <w:tcPr>
            <w:tcW w:w="1134" w:type="dxa"/>
            <w:vAlign w:val="center"/>
          </w:tcPr>
          <w:p>
            <w:pPr>
              <w:pStyle w:val="18"/>
            </w:pPr>
            <w:r>
              <w:t>汽油</w:t>
            </w:r>
          </w:p>
        </w:tc>
        <w:tc>
          <w:tcPr>
            <w:tcW w:w="1134" w:type="dxa"/>
            <w:vAlign w:val="center"/>
          </w:tcPr>
          <w:p>
            <w:pPr>
              <w:pStyle w:val="18"/>
            </w:pPr>
            <w:r>
              <w:t>A07070101</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20.00</w:t>
            </w:r>
          </w:p>
        </w:tc>
        <w:tc>
          <w:tcPr>
            <w:tcW w:w="964" w:type="dxa"/>
            <w:vAlign w:val="center"/>
          </w:tcPr>
          <w:p>
            <w:pPr>
              <w:pStyle w:val="17"/>
            </w:pPr>
            <w:r>
              <w:t>20.00</w:t>
            </w:r>
          </w:p>
        </w:tc>
        <w:tc>
          <w:tcPr>
            <w:tcW w:w="964" w:type="dxa"/>
            <w:vAlign w:val="center"/>
          </w:tcPr>
          <w:p>
            <w:pPr>
              <w:pStyle w:val="17"/>
            </w:pPr>
            <w:r>
              <w:t>20.00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公用类项目</w:t>
            </w:r>
          </w:p>
        </w:tc>
        <w:tc>
          <w:tcPr>
            <w:tcW w:w="964" w:type="dxa"/>
            <w:vAlign w:val="center"/>
          </w:tcPr>
          <w:p>
            <w:pPr>
              <w:pStyle w:val="17"/>
            </w:pPr>
            <w:r>
              <w:t>407.19</w:t>
            </w:r>
          </w:p>
        </w:tc>
        <w:tc>
          <w:tcPr>
            <w:tcW w:w="1134" w:type="dxa"/>
            <w:vAlign w:val="center"/>
          </w:tcPr>
          <w:p>
            <w:pPr>
              <w:pStyle w:val="18"/>
            </w:pPr>
            <w:r>
              <w:t>其他车辆维修和保养服务</w:t>
            </w:r>
          </w:p>
        </w:tc>
        <w:tc>
          <w:tcPr>
            <w:tcW w:w="1134" w:type="dxa"/>
            <w:vAlign w:val="center"/>
          </w:tcPr>
          <w:p>
            <w:pPr>
              <w:pStyle w:val="18"/>
            </w:pPr>
            <w:r>
              <w:t>C23120399</w:t>
            </w:r>
          </w:p>
        </w:tc>
        <w:tc>
          <w:tcPr>
            <w:tcW w:w="709" w:type="dxa"/>
            <w:vAlign w:val="center"/>
          </w:tcPr>
          <w:p>
            <w:pPr>
              <w:pStyle w:val="19"/>
            </w:pPr>
            <w:r>
              <w:t>项</w:t>
            </w:r>
          </w:p>
        </w:tc>
        <w:tc>
          <w:tcPr>
            <w:tcW w:w="850" w:type="dxa"/>
            <w:vAlign w:val="center"/>
          </w:tcPr>
          <w:p>
            <w:pPr>
              <w:pStyle w:val="17"/>
            </w:pPr>
            <w:r>
              <w:t>1</w:t>
            </w:r>
          </w:p>
        </w:tc>
        <w:tc>
          <w:tcPr>
            <w:tcW w:w="850" w:type="dxa"/>
            <w:vAlign w:val="center"/>
          </w:tcPr>
          <w:p>
            <w:pPr>
              <w:pStyle w:val="17"/>
            </w:pPr>
            <w:r>
              <w:t>37.00</w:t>
            </w:r>
          </w:p>
        </w:tc>
        <w:tc>
          <w:tcPr>
            <w:tcW w:w="964" w:type="dxa"/>
            <w:vAlign w:val="center"/>
          </w:tcPr>
          <w:p>
            <w:pPr>
              <w:pStyle w:val="17"/>
            </w:pPr>
            <w:r>
              <w:t>37.00</w:t>
            </w:r>
          </w:p>
        </w:tc>
        <w:tc>
          <w:tcPr>
            <w:tcW w:w="964" w:type="dxa"/>
            <w:vAlign w:val="center"/>
          </w:tcPr>
          <w:p>
            <w:pPr>
              <w:pStyle w:val="17"/>
            </w:pPr>
            <w:r>
              <w:t>37.00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中共河北省纪律检查委员会（含所属单位）上年末固定资产金额为52146.14万元（详见下表）。本年度拟购置固定资产总额为553.77万元，已按要求列入政府采购预算。</w:t>
      </w:r>
    </w:p>
    <w:p>
      <w:pPr>
        <w:jc w:val="center"/>
      </w:pPr>
      <w:r>
        <w:rPr>
          <w:rFonts w:ascii="方正小标宋_GBK" w:hAnsi="方正小标宋_GBK" w:eastAsia="方正小标宋_GBK" w:cs="方正小标宋_GBK"/>
          <w:color w:val="000000"/>
          <w:sz w:val="36"/>
        </w:rPr>
        <w:t>部门固定资产占用情况表</w:t>
      </w:r>
    </w:p>
    <w:tbl>
      <w:tblPr>
        <w:tblStyle w:val="11"/>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222中共河北省纪律检查委员会</w:t>
            </w:r>
          </w:p>
        </w:tc>
        <w:tc>
          <w:tcPr>
            <w:tcW w:w="5670"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52146.14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r>
              <w:t>60841.64</w:t>
            </w:r>
          </w:p>
        </w:tc>
        <w:tc>
          <w:tcPr>
            <w:tcW w:w="2835" w:type="dxa"/>
            <w:vAlign w:val="center"/>
          </w:tcPr>
          <w:p>
            <w:pPr>
              <w:pStyle w:val="17"/>
            </w:pPr>
            <w:r>
              <w:t>31765.81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10354</w:t>
            </w:r>
          </w:p>
        </w:tc>
        <w:tc>
          <w:tcPr>
            <w:tcW w:w="2835" w:type="dxa"/>
            <w:vAlign w:val="center"/>
          </w:tcPr>
          <w:p>
            <w:pPr>
              <w:pStyle w:val="17"/>
            </w:pPr>
            <w:r>
              <w:t>6779.07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57</w:t>
            </w:r>
          </w:p>
        </w:tc>
        <w:tc>
          <w:tcPr>
            <w:tcW w:w="2835" w:type="dxa"/>
            <w:vAlign w:val="center"/>
          </w:tcPr>
          <w:p>
            <w:pPr>
              <w:pStyle w:val="17"/>
            </w:pPr>
            <w:r>
              <w:t>1138.05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r>
              <w:t>81</w:t>
            </w:r>
          </w:p>
        </w:tc>
        <w:tc>
          <w:tcPr>
            <w:tcW w:w="2835" w:type="dxa"/>
            <w:vAlign w:val="center"/>
          </w:tcPr>
          <w:p>
            <w:pPr>
              <w:pStyle w:val="17"/>
            </w:pPr>
            <w:r>
              <w:t>8865.42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24248</w:t>
            </w:r>
          </w:p>
        </w:tc>
        <w:tc>
          <w:tcPr>
            <w:tcW w:w="2835" w:type="dxa"/>
            <w:vAlign w:val="center"/>
          </w:tcPr>
          <w:p>
            <w:pPr>
              <w:pStyle w:val="17"/>
            </w:pPr>
            <w:r>
              <w:t>10376.86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SimSun-ExtB"/>
    <w:panose1 w:val="00000000000000000000"/>
    <w:charset w:val="86"/>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evenAndOddHeaders w:val="1"/>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1C422F"/>
    <w:rsid w:val="002562F3"/>
    <w:rsid w:val="00361FB4"/>
    <w:rsid w:val="00387637"/>
    <w:rsid w:val="0042322F"/>
    <w:rsid w:val="00460EF6"/>
    <w:rsid w:val="007F6A91"/>
    <w:rsid w:val="009B7DF9"/>
    <w:rsid w:val="00A81A67"/>
    <w:rsid w:val="00BE2D98"/>
    <w:rsid w:val="00BE3345"/>
    <w:rsid w:val="00D32220"/>
    <w:rsid w:val="00D350E7"/>
    <w:rsid w:val="00ED3ABD"/>
    <w:rsid w:val="00FF4BAD"/>
    <w:rsid w:val="172003F2"/>
    <w:rsid w:val="29865F7A"/>
    <w:rsid w:val="37CF1F2A"/>
    <w:rsid w:val="43161B8A"/>
    <w:rsid w:val="471E6C89"/>
    <w:rsid w:val="5FFA6504"/>
    <w:rsid w:val="618F110B"/>
    <w:rsid w:val="68606EBB"/>
    <w:rsid w:val="6D8E6DDD"/>
    <w:rsid w:val="72A2141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toc 3"/>
    <w:basedOn w:val="1"/>
    <w:qFormat/>
    <w:uiPriority w:val="0"/>
    <w:pPr>
      <w:ind w:left="480"/>
    </w:pPr>
  </w:style>
  <w:style w:type="paragraph" w:styleId="3">
    <w:name w:val="Balloon Text"/>
    <w:basedOn w:val="1"/>
    <w:link w:val="37"/>
    <w:unhideWhenUsed/>
    <w:uiPriority w:val="99"/>
    <w:rPr>
      <w:sz w:val="18"/>
      <w:szCs w:val="18"/>
    </w:rPr>
  </w:style>
  <w:style w:type="paragraph" w:styleId="4">
    <w:name w:val="footer"/>
    <w:basedOn w:val="1"/>
    <w:link w:val="36"/>
    <w:unhideWhenUsed/>
    <w:uiPriority w:val="99"/>
    <w:pPr>
      <w:tabs>
        <w:tab w:val="center" w:pos="4153"/>
        <w:tab w:val="right" w:pos="8306"/>
      </w:tabs>
      <w:snapToGrid w:val="0"/>
    </w:pPr>
    <w:rPr>
      <w:sz w:val="18"/>
      <w:szCs w:val="18"/>
    </w:rPr>
  </w:style>
  <w:style w:type="paragraph" w:styleId="5">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qFormat/>
    <w:uiPriority w:val="0"/>
    <w:pPr>
      <w:spacing w:before="120"/>
      <w:ind w:firstLine="560"/>
    </w:pPr>
    <w:rPr>
      <w:rFonts w:eastAsia="方正仿宋_GBK"/>
      <w:color w:val="000000"/>
      <w:sz w:val="28"/>
    </w:rPr>
  </w:style>
  <w:style w:type="paragraph" w:styleId="7">
    <w:name w:val="toc 4"/>
    <w:basedOn w:val="1"/>
    <w:qFormat/>
    <w:uiPriority w:val="0"/>
    <w:pPr>
      <w:ind w:left="720"/>
    </w:pPr>
  </w:style>
  <w:style w:type="paragraph" w:styleId="8">
    <w:name w:val="toc 2"/>
    <w:basedOn w:val="1"/>
    <w:qFormat/>
    <w:uiPriority w:val="39"/>
    <w:pPr>
      <w:ind w:left="240"/>
    </w:pPr>
  </w:style>
  <w:style w:type="character" w:styleId="10">
    <w:name w:val="Hyperlink"/>
    <w:basedOn w:val="9"/>
    <w:unhideWhenUsed/>
    <w:uiPriority w:val="99"/>
    <w:rPr>
      <w:color w:val="0563C1"/>
      <w:u w:val="single"/>
    </w:rPr>
  </w:style>
  <w:style w:type="table" w:styleId="12">
    <w:name w:val="Table Grid"/>
    <w:basedOn w:val="11"/>
    <w:uiPriority w:val="0"/>
    <w:p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5">
    <w:name w:val="页眉 Char"/>
    <w:basedOn w:val="9"/>
    <w:link w:val="5"/>
    <w:uiPriority w:val="99"/>
    <w:rPr>
      <w:rFonts w:eastAsia="Times New Roman"/>
      <w:sz w:val="18"/>
      <w:szCs w:val="18"/>
    </w:rPr>
  </w:style>
  <w:style w:type="character" w:customStyle="1" w:styleId="36">
    <w:name w:val="页脚 Char"/>
    <w:basedOn w:val="9"/>
    <w:link w:val="4"/>
    <w:uiPriority w:val="99"/>
    <w:rPr>
      <w:rFonts w:eastAsia="Times New Roman"/>
      <w:sz w:val="18"/>
      <w:szCs w:val="18"/>
    </w:rPr>
  </w:style>
  <w:style w:type="character" w:customStyle="1" w:styleId="37">
    <w:name w:val="批注框文本 Char"/>
    <w:basedOn w:val="9"/>
    <w:link w:val="3"/>
    <w:semiHidden/>
    <w:uiPriority w:val="99"/>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2217</Words>
  <Characters>12642</Characters>
  <Lines>105</Lines>
  <Paragraphs>29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2023-01-14T10:18:00Z</dcterms:created>
  <cp:lastModifiedBy>lenovo</cp:lastModifiedBy>
  <cp:lastPrinted>2023-01-15T08:46:00Z</cp:lastPrinted>
  <dcterms:modified xsi:type="dcterms:W3CDTF">2023-01-15T09:10:46Z</dcterms:modified>
  <dc:title>2023年部门预算信息公开目录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